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8" w:type="dxa"/>
        <w:tblInd w:w="-839" w:type="dxa"/>
        <w:tblLook w:val="00A0" w:firstRow="1" w:lastRow="0" w:firstColumn="1" w:lastColumn="0" w:noHBand="0" w:noVBand="0"/>
      </w:tblPr>
      <w:tblGrid>
        <w:gridCol w:w="732"/>
        <w:gridCol w:w="1526"/>
        <w:gridCol w:w="3160"/>
        <w:gridCol w:w="3200"/>
        <w:gridCol w:w="803"/>
        <w:gridCol w:w="1477"/>
      </w:tblGrid>
      <w:tr w:rsidR="0029225F" w14:paraId="5AD63BBC" w14:textId="77777777" w:rsidTr="00337307">
        <w:trPr>
          <w:cantSplit/>
          <w:trHeight w:hRule="exact" w:val="737"/>
        </w:trPr>
        <w:tc>
          <w:tcPr>
            <w:tcW w:w="9421" w:type="dxa"/>
            <w:gridSpan w:val="5"/>
          </w:tcPr>
          <w:p w14:paraId="45009C59" w14:textId="77777777" w:rsidR="0029225F" w:rsidRDefault="00275C8A">
            <w:pPr>
              <w:pStyle w:val="zDokTyp"/>
            </w:pPr>
            <w:bookmarkStart w:id="0" w:name="zhLogo"/>
            <w:r>
              <w:rPr>
                <w:noProof/>
              </w:rPr>
              <w:drawing>
                <wp:inline distT="0" distB="0" distL="0" distR="0" wp14:anchorId="7984995F" wp14:editId="6EFCDB9A">
                  <wp:extent cx="2020828" cy="359665"/>
                  <wp:effectExtent l="0" t="0" r="0" b="2540"/>
                  <wp:docPr id="2" name="Bildobjekt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0828" cy="359665"/>
                          </a:xfrm>
                          <a:prstGeom prst="rect">
                            <a:avLst/>
                          </a:prstGeom>
                        </pic:spPr>
                      </pic:pic>
                    </a:graphicData>
                  </a:graphic>
                </wp:inline>
              </w:drawing>
            </w:r>
            <w:bookmarkEnd w:id="0"/>
          </w:p>
        </w:tc>
        <w:tc>
          <w:tcPr>
            <w:tcW w:w="1477" w:type="dxa"/>
            <w:vAlign w:val="bottom"/>
          </w:tcPr>
          <w:p w14:paraId="437AD8A6" w14:textId="77777777" w:rsidR="0029225F" w:rsidRDefault="0029225F">
            <w:pPr>
              <w:pStyle w:val="Tabellsidhuvud"/>
              <w:jc w:val="right"/>
            </w:pPr>
          </w:p>
        </w:tc>
      </w:tr>
      <w:tr w:rsidR="0029225F" w14:paraId="61624BAF" w14:textId="77777777" w:rsidTr="00337307">
        <w:trPr>
          <w:gridBefore w:val="1"/>
          <w:wBefore w:w="732" w:type="dxa"/>
          <w:trHeight w:hRule="exact" w:val="1077"/>
        </w:trPr>
        <w:tc>
          <w:tcPr>
            <w:tcW w:w="4686" w:type="dxa"/>
            <w:gridSpan w:val="2"/>
          </w:tcPr>
          <w:p w14:paraId="67BE768F" w14:textId="77777777" w:rsidR="0029225F" w:rsidRDefault="00275C8A">
            <w:pPr>
              <w:pStyle w:val="Tabellsidhuvud"/>
            </w:pPr>
            <w:r>
              <w:t>Utbildning</w:t>
            </w:r>
          </w:p>
          <w:p w14:paraId="10D72EEF" w14:textId="77777777" w:rsidR="0029225F" w:rsidRDefault="00275C8A">
            <w:pPr>
              <w:pStyle w:val="Tabellsidhuvud"/>
              <w:rPr>
                <w:i/>
              </w:rPr>
            </w:pPr>
            <w:r>
              <w:rPr>
                <w:i/>
              </w:rPr>
              <w:t>Utbildning</w:t>
            </w:r>
          </w:p>
          <w:p w14:paraId="2A303847" w14:textId="77777777" w:rsidR="0029225F" w:rsidRDefault="0029225F">
            <w:pPr>
              <w:pStyle w:val="Tabellsidhuvud"/>
              <w:rPr>
                <w:i/>
              </w:rPr>
            </w:pPr>
            <w:r>
              <w:rPr>
                <w:i/>
              </w:rPr>
              <w:fldChar w:fldCharType="begin"/>
            </w:r>
            <w:r>
              <w:rPr>
                <w:i/>
              </w:rPr>
              <w:instrText xml:space="preserve"> MACROBUTTON nobutton    </w:instrText>
            </w:r>
            <w:r>
              <w:rPr>
                <w:i/>
              </w:rPr>
              <w:fldChar w:fldCharType="end"/>
            </w:r>
            <w:r w:rsidR="00275C8A">
              <w:rPr>
                <w:i/>
              </w:rPr>
              <w:t>   </w:t>
            </w:r>
          </w:p>
        </w:tc>
        <w:tc>
          <w:tcPr>
            <w:tcW w:w="3200" w:type="dxa"/>
          </w:tcPr>
          <w:p w14:paraId="6FC30148" w14:textId="7C3787DA" w:rsidR="0029225F" w:rsidRDefault="00241A14">
            <w:pPr>
              <w:pStyle w:val="zDatum"/>
            </w:pPr>
            <w:r>
              <w:t>202</w:t>
            </w:r>
            <w:r w:rsidR="0085323D">
              <w:t>3</w:t>
            </w:r>
            <w:r w:rsidR="00C53D16">
              <w:t>-</w:t>
            </w:r>
            <w:r w:rsidR="0087376B">
              <w:t>12-14</w:t>
            </w:r>
          </w:p>
        </w:tc>
        <w:tc>
          <w:tcPr>
            <w:tcW w:w="2280" w:type="dxa"/>
            <w:gridSpan w:val="2"/>
          </w:tcPr>
          <w:p w14:paraId="6E522BAC" w14:textId="2E99C1C8" w:rsidR="0029225F" w:rsidRDefault="00FB0BF6" w:rsidP="00FB0BF6">
            <w:pPr>
              <w:pStyle w:val="zDnrLead"/>
            </w:pPr>
            <w:bookmarkStart w:id="1" w:name="cc_2Diarienummer"/>
            <w:bookmarkStart w:id="2" w:name="zz_2Diarienummer"/>
            <w:bookmarkEnd w:id="1"/>
            <w:bookmarkEnd w:id="2"/>
            <w:r>
              <w:t>HSN 2020-0951</w:t>
            </w:r>
          </w:p>
        </w:tc>
      </w:tr>
      <w:tr w:rsidR="0029225F" w14:paraId="342A01AE" w14:textId="77777777" w:rsidTr="00337307">
        <w:trPr>
          <w:gridBefore w:val="1"/>
          <w:wBefore w:w="732" w:type="dxa"/>
          <w:cantSplit/>
          <w:trHeight w:val="135"/>
        </w:trPr>
        <w:tc>
          <w:tcPr>
            <w:tcW w:w="1526" w:type="dxa"/>
          </w:tcPr>
          <w:p w14:paraId="12FE6F7D" w14:textId="77777777" w:rsidR="0029225F" w:rsidRDefault="0029225F">
            <w:pPr>
              <w:pStyle w:val="Tabellsidhuvud"/>
              <w:rPr>
                <w:i/>
                <w:iCs/>
              </w:rPr>
            </w:pPr>
            <w:r>
              <w:rPr>
                <w:i/>
                <w:iCs/>
              </w:rPr>
              <w:t>Handläggare</w:t>
            </w:r>
          </w:p>
        </w:tc>
        <w:tc>
          <w:tcPr>
            <w:tcW w:w="8640" w:type="dxa"/>
            <w:gridSpan w:val="4"/>
          </w:tcPr>
          <w:p w14:paraId="4607CC00" w14:textId="77777777" w:rsidR="0029225F" w:rsidRDefault="00275C8A">
            <w:pPr>
              <w:pStyle w:val="Tabellsidhuvud"/>
              <w:rPr>
                <w:sz w:val="20"/>
                <w:szCs w:val="20"/>
              </w:rPr>
            </w:pPr>
            <w:bookmarkStart w:id="3" w:name="bi_nm1"/>
            <w:bookmarkEnd w:id="3"/>
            <w:r>
              <w:rPr>
                <w:sz w:val="20"/>
                <w:szCs w:val="20"/>
              </w:rPr>
              <w:t>Kati Liljebäck</w:t>
            </w:r>
          </w:p>
        </w:tc>
      </w:tr>
      <w:tr w:rsidR="0029225F" w14:paraId="605D80D6" w14:textId="77777777" w:rsidTr="00337307">
        <w:trPr>
          <w:gridBefore w:val="1"/>
          <w:wBefore w:w="732" w:type="dxa"/>
          <w:cantSplit/>
          <w:trHeight w:val="136"/>
        </w:trPr>
        <w:tc>
          <w:tcPr>
            <w:tcW w:w="1526" w:type="dxa"/>
          </w:tcPr>
          <w:p w14:paraId="4A8F3658" w14:textId="77777777" w:rsidR="0029225F" w:rsidRDefault="0029225F">
            <w:pPr>
              <w:pStyle w:val="Tabellsidhuvud"/>
              <w:rPr>
                <w:i/>
                <w:iCs/>
              </w:rPr>
            </w:pPr>
            <w:r>
              <w:rPr>
                <w:i/>
                <w:iCs/>
              </w:rPr>
              <w:t>Telefon</w:t>
            </w:r>
          </w:p>
        </w:tc>
        <w:tc>
          <w:tcPr>
            <w:tcW w:w="8640" w:type="dxa"/>
            <w:gridSpan w:val="4"/>
          </w:tcPr>
          <w:p w14:paraId="7324A868" w14:textId="77777777" w:rsidR="0029225F" w:rsidRDefault="00275C8A">
            <w:pPr>
              <w:pStyle w:val="Tabellsidhuvud"/>
              <w:rPr>
                <w:sz w:val="20"/>
                <w:szCs w:val="20"/>
              </w:rPr>
            </w:pPr>
            <w:bookmarkStart w:id="4" w:name="bi_td1"/>
            <w:bookmarkEnd w:id="4"/>
            <w:r>
              <w:rPr>
                <w:sz w:val="20"/>
                <w:szCs w:val="20"/>
              </w:rPr>
              <w:t>072–583 09 98</w:t>
            </w:r>
          </w:p>
        </w:tc>
      </w:tr>
      <w:tr w:rsidR="0029225F" w14:paraId="3BB92694" w14:textId="77777777" w:rsidTr="00337307">
        <w:trPr>
          <w:gridBefore w:val="1"/>
          <w:wBefore w:w="732" w:type="dxa"/>
          <w:trHeight w:val="136"/>
        </w:trPr>
        <w:tc>
          <w:tcPr>
            <w:tcW w:w="1526" w:type="dxa"/>
          </w:tcPr>
          <w:p w14:paraId="7E2470AC" w14:textId="77777777" w:rsidR="0029225F" w:rsidRDefault="0029225F">
            <w:pPr>
              <w:pStyle w:val="Tabellsidhuvud"/>
              <w:rPr>
                <w:i/>
                <w:iCs/>
              </w:rPr>
            </w:pPr>
            <w:r>
              <w:rPr>
                <w:i/>
                <w:iCs/>
              </w:rPr>
              <w:t>E-post</w:t>
            </w:r>
          </w:p>
        </w:tc>
        <w:tc>
          <w:tcPr>
            <w:tcW w:w="8640" w:type="dxa"/>
            <w:gridSpan w:val="4"/>
          </w:tcPr>
          <w:p w14:paraId="57037C01" w14:textId="55E53964" w:rsidR="0029225F" w:rsidRDefault="00275C8A">
            <w:pPr>
              <w:pStyle w:val="Tabellsidhuvud"/>
              <w:rPr>
                <w:sz w:val="20"/>
                <w:szCs w:val="20"/>
              </w:rPr>
            </w:pPr>
            <w:bookmarkStart w:id="5" w:name="bi_ep1"/>
            <w:bookmarkEnd w:id="5"/>
            <w:r>
              <w:rPr>
                <w:sz w:val="20"/>
                <w:szCs w:val="20"/>
              </w:rPr>
              <w:t>kati.liljeback@</w:t>
            </w:r>
            <w:r w:rsidR="00241A14">
              <w:rPr>
                <w:sz w:val="20"/>
                <w:szCs w:val="20"/>
              </w:rPr>
              <w:t>regionstockholm.</w:t>
            </w:r>
            <w:r>
              <w:rPr>
                <w:sz w:val="20"/>
                <w:szCs w:val="20"/>
              </w:rPr>
              <w:t>se</w:t>
            </w:r>
          </w:p>
        </w:tc>
      </w:tr>
    </w:tbl>
    <w:p w14:paraId="4909CB0A" w14:textId="77777777" w:rsidR="0029225F" w:rsidRDefault="0029225F"/>
    <w:p w14:paraId="18967037" w14:textId="77777777" w:rsidR="00275C8A" w:rsidRPr="00275C8A" w:rsidRDefault="00275C8A" w:rsidP="00275C8A">
      <w:pPr>
        <w:rPr>
          <w:rFonts w:eastAsia="MS Mincho"/>
        </w:rPr>
      </w:pPr>
      <w:r w:rsidRPr="00275C8A">
        <w:rPr>
          <w:rFonts w:cs="Arial"/>
          <w:b/>
          <w:bCs/>
          <w:kern w:val="32"/>
          <w:sz w:val="32"/>
          <w:szCs w:val="28"/>
          <w:lang w:eastAsia="ja-JP"/>
        </w:rPr>
        <w:t xml:space="preserve">Riktlinjer för arbetsplatsförlagt lärande, APL, vid Vård och omsorgsprogrammet </w:t>
      </w:r>
    </w:p>
    <w:p w14:paraId="5E5BAFD7" w14:textId="77777777" w:rsidR="00275C8A" w:rsidRDefault="00275C8A" w:rsidP="00275C8A">
      <w:pPr>
        <w:pStyle w:val="Liststycke"/>
        <w:rPr>
          <w:rFonts w:eastAsia="MS Mincho"/>
        </w:rPr>
      </w:pPr>
    </w:p>
    <w:p w14:paraId="7E75BE57" w14:textId="77777777" w:rsidR="00275C8A" w:rsidRPr="00D12BA1" w:rsidRDefault="00275C8A" w:rsidP="00275C8A">
      <w:pPr>
        <w:pStyle w:val="Liststycke"/>
        <w:numPr>
          <w:ilvl w:val="0"/>
          <w:numId w:val="1"/>
        </w:numPr>
        <w:rPr>
          <w:rFonts w:eastAsia="MS Mincho"/>
        </w:rPr>
      </w:pPr>
      <w:r>
        <w:rPr>
          <w:rFonts w:eastAsia="MS Mincho"/>
        </w:rPr>
        <w:t>avseende</w:t>
      </w:r>
      <w:r w:rsidRPr="00D12BA1">
        <w:rPr>
          <w:rFonts w:eastAsia="MS Mincho"/>
        </w:rPr>
        <w:t xml:space="preserve"> studerande från gymnasieskolor och kommunal vuxenutbildning</w:t>
      </w:r>
      <w:r>
        <w:rPr>
          <w:rFonts w:eastAsia="MS Mincho"/>
        </w:rPr>
        <w:t xml:space="preserve"> i</w:t>
      </w:r>
      <w:r w:rsidRPr="00D12BA1">
        <w:rPr>
          <w:rFonts w:eastAsia="MS Mincho"/>
        </w:rPr>
        <w:t xml:space="preserve">nom Region Stockholms verksamheter eller verksamheter med vårdavtal med Region Stockholm. </w:t>
      </w:r>
    </w:p>
    <w:p w14:paraId="06141DC0" w14:textId="77777777" w:rsidR="00275C8A" w:rsidRDefault="00275C8A" w:rsidP="00275C8A">
      <w:pPr>
        <w:rPr>
          <w:rFonts w:eastAsia="MS Mincho"/>
        </w:rPr>
      </w:pPr>
    </w:p>
    <w:p w14:paraId="4CC5F1E4" w14:textId="7679902E" w:rsidR="00275C8A" w:rsidRDefault="00275C8A" w:rsidP="00275C8A">
      <w:pPr>
        <w:rPr>
          <w:rFonts w:eastAsia="MS Mincho"/>
        </w:rPr>
      </w:pPr>
      <w:r w:rsidRPr="005D64F4">
        <w:rPr>
          <w:rFonts w:eastAsia="MS Mincho"/>
        </w:rPr>
        <w:t xml:space="preserve">Den kliniska delen av utbildningen vid Vård och </w:t>
      </w:r>
      <w:r w:rsidR="000C0DC8">
        <w:rPr>
          <w:rFonts w:eastAsia="MS Mincho"/>
        </w:rPr>
        <w:t>o</w:t>
      </w:r>
      <w:r w:rsidRPr="005D64F4">
        <w:rPr>
          <w:rFonts w:eastAsia="MS Mincho"/>
        </w:rPr>
        <w:t>msorgsprogrammet kallas arbetsplatsförlagt lärande, APL. Skolor, studerande, utbildningsansvariga i vården</w:t>
      </w:r>
      <w:r>
        <w:rPr>
          <w:rFonts w:eastAsia="MS Mincho"/>
        </w:rPr>
        <w:t xml:space="preserve"> och</w:t>
      </w:r>
      <w:r w:rsidRPr="005D64F4">
        <w:rPr>
          <w:rFonts w:eastAsia="MS Mincho"/>
        </w:rPr>
        <w:t xml:space="preserve"> handledare med flera samarbetar för att APL</w:t>
      </w:r>
      <w:r>
        <w:rPr>
          <w:rFonts w:eastAsia="MS Mincho"/>
        </w:rPr>
        <w:t xml:space="preserve"> ska bedrivas med </w:t>
      </w:r>
      <w:r w:rsidRPr="005D64F4">
        <w:rPr>
          <w:rFonts w:eastAsia="MS Mincho"/>
        </w:rPr>
        <w:t>god kvalitet. Region Stockholm har tagit fram följande riktlinjer för att säkerställa ett enhetligt arbetssätt för APL inom regionen, vem som ansvarar för vad och vilka krav som ställs på respektive part.</w:t>
      </w:r>
    </w:p>
    <w:p w14:paraId="60DD98EF" w14:textId="77777777" w:rsidR="00275C8A" w:rsidRDefault="00275C8A" w:rsidP="00275C8A">
      <w:pPr>
        <w:rPr>
          <w:rFonts w:eastAsia="MS Mincho"/>
        </w:rPr>
      </w:pPr>
    </w:p>
    <w:p w14:paraId="3040F240" w14:textId="77777777" w:rsidR="00275C8A" w:rsidRDefault="00275C8A" w:rsidP="00275C8A">
      <w:pPr>
        <w:keepNext/>
        <w:spacing w:before="240" w:line="320" w:lineRule="atLeast"/>
        <w:contextualSpacing/>
        <w:outlineLvl w:val="1"/>
        <w:rPr>
          <w:rFonts w:cs="Arial"/>
          <w:bCs/>
          <w:iCs/>
          <w:sz w:val="32"/>
          <w:szCs w:val="28"/>
          <w:lang w:eastAsia="ja-JP"/>
        </w:rPr>
      </w:pPr>
      <w:r w:rsidRPr="00815B6C">
        <w:rPr>
          <w:rFonts w:cs="Arial"/>
          <w:bCs/>
          <w:iCs/>
          <w:sz w:val="32"/>
          <w:szCs w:val="28"/>
          <w:lang w:eastAsia="ja-JP"/>
        </w:rPr>
        <w:t xml:space="preserve">Prioritering vid </w:t>
      </w:r>
      <w:r>
        <w:rPr>
          <w:rFonts w:cs="Arial"/>
          <w:bCs/>
          <w:iCs/>
          <w:sz w:val="32"/>
          <w:szCs w:val="28"/>
          <w:lang w:eastAsia="ja-JP"/>
        </w:rPr>
        <w:t xml:space="preserve">fördelning av </w:t>
      </w:r>
      <w:r w:rsidRPr="00815B6C">
        <w:rPr>
          <w:rFonts w:cs="Arial"/>
          <w:bCs/>
          <w:iCs/>
          <w:sz w:val="32"/>
          <w:szCs w:val="28"/>
          <w:lang w:eastAsia="ja-JP"/>
        </w:rPr>
        <w:t>APL</w:t>
      </w:r>
      <w:r>
        <w:rPr>
          <w:rFonts w:cs="Arial"/>
          <w:bCs/>
          <w:iCs/>
          <w:sz w:val="32"/>
          <w:szCs w:val="28"/>
          <w:lang w:eastAsia="ja-JP"/>
        </w:rPr>
        <w:t>-platser</w:t>
      </w:r>
    </w:p>
    <w:p w14:paraId="469A4A88" w14:textId="77777777" w:rsidR="00275C8A" w:rsidRDefault="00275C8A" w:rsidP="00275C8A">
      <w:pPr>
        <w:keepNext/>
        <w:spacing w:before="240" w:line="320" w:lineRule="atLeast"/>
        <w:contextualSpacing/>
        <w:outlineLvl w:val="1"/>
        <w:rPr>
          <w:rFonts w:cs="Arial"/>
          <w:bCs/>
          <w:iCs/>
          <w:sz w:val="32"/>
          <w:szCs w:val="28"/>
          <w:lang w:eastAsia="ja-JP"/>
        </w:rPr>
      </w:pPr>
    </w:p>
    <w:p w14:paraId="282A0F9C" w14:textId="77777777" w:rsidR="00275C8A" w:rsidRDefault="00275C8A" w:rsidP="00275C8A">
      <w:pPr>
        <w:keepNext/>
        <w:spacing w:before="240" w:line="320" w:lineRule="atLeast"/>
        <w:contextualSpacing/>
        <w:outlineLvl w:val="1"/>
        <w:rPr>
          <w:rFonts w:cs="Arial"/>
          <w:bCs/>
          <w:iCs/>
          <w:szCs w:val="22"/>
          <w:lang w:eastAsia="ja-JP"/>
        </w:rPr>
      </w:pPr>
      <w:r>
        <w:rPr>
          <w:rFonts w:cs="Arial"/>
          <w:bCs/>
          <w:iCs/>
          <w:szCs w:val="22"/>
          <w:lang w:eastAsia="ja-JP"/>
        </w:rPr>
        <w:t>APL-platser fördelas endast till studerande över 18 år på gym</w:t>
      </w:r>
      <w:r w:rsidR="008D49F4">
        <w:rPr>
          <w:rFonts w:cs="Arial"/>
          <w:bCs/>
          <w:iCs/>
          <w:szCs w:val="22"/>
          <w:lang w:eastAsia="ja-JP"/>
        </w:rPr>
        <w:t>nasiet</w:t>
      </w:r>
      <w:r>
        <w:rPr>
          <w:rFonts w:cs="Arial"/>
          <w:bCs/>
          <w:iCs/>
          <w:szCs w:val="22"/>
          <w:lang w:eastAsia="ja-JP"/>
        </w:rPr>
        <w:t xml:space="preserve"> i årskurs tre (åk3), samt s</w:t>
      </w:r>
      <w:r w:rsidR="00966F32">
        <w:rPr>
          <w:rFonts w:cs="Arial"/>
          <w:bCs/>
          <w:iCs/>
          <w:szCs w:val="22"/>
          <w:lang w:eastAsia="ja-JP"/>
        </w:rPr>
        <w:t>t</w:t>
      </w:r>
      <w:r>
        <w:rPr>
          <w:rFonts w:cs="Arial"/>
          <w:bCs/>
          <w:iCs/>
          <w:szCs w:val="22"/>
          <w:lang w:eastAsia="ja-JP"/>
        </w:rPr>
        <w:t xml:space="preserve">uderande på vuxenutbildningen och vuxenutbildningens yrkespaket för undersköterskor. </w:t>
      </w:r>
    </w:p>
    <w:p w14:paraId="54675198" w14:textId="77777777" w:rsidR="003C44E2" w:rsidRDefault="003C44E2" w:rsidP="00275C8A">
      <w:pPr>
        <w:keepNext/>
        <w:spacing w:before="240" w:line="320" w:lineRule="atLeast"/>
        <w:contextualSpacing/>
        <w:outlineLvl w:val="1"/>
        <w:rPr>
          <w:rFonts w:cs="Arial"/>
          <w:bCs/>
          <w:iCs/>
          <w:szCs w:val="22"/>
          <w:lang w:eastAsia="ja-JP"/>
        </w:rPr>
      </w:pPr>
    </w:p>
    <w:p w14:paraId="1D6EBE3E" w14:textId="7D8BF7B5" w:rsidR="00966F32" w:rsidRDefault="00966F32" w:rsidP="00275C8A">
      <w:pPr>
        <w:keepNext/>
        <w:spacing w:before="240" w:line="320" w:lineRule="atLeast"/>
        <w:contextualSpacing/>
        <w:outlineLvl w:val="1"/>
        <w:rPr>
          <w:rFonts w:cs="Arial"/>
          <w:bCs/>
          <w:iCs/>
          <w:szCs w:val="22"/>
          <w:lang w:eastAsia="ja-JP"/>
        </w:rPr>
      </w:pPr>
      <w:r>
        <w:rPr>
          <w:rFonts w:cs="Arial"/>
          <w:bCs/>
          <w:iCs/>
          <w:szCs w:val="22"/>
          <w:lang w:eastAsia="ja-JP"/>
        </w:rPr>
        <w:t>Kortare fältstudier</w:t>
      </w:r>
      <w:r w:rsidR="00360C9F">
        <w:rPr>
          <w:rFonts w:cs="Arial"/>
          <w:bCs/>
          <w:iCs/>
          <w:szCs w:val="22"/>
          <w:lang w:eastAsia="ja-JP"/>
        </w:rPr>
        <w:t xml:space="preserve"> för att utanför skolan tillgodogöra sig ny kunskap och erfarenhet erbjuds inte. </w:t>
      </w:r>
    </w:p>
    <w:p w14:paraId="7DAACA52" w14:textId="346028A6" w:rsidR="005E4F9C" w:rsidRDefault="005E4F9C" w:rsidP="00275C8A">
      <w:pPr>
        <w:keepNext/>
        <w:spacing w:before="240" w:line="320" w:lineRule="atLeast"/>
        <w:contextualSpacing/>
        <w:outlineLvl w:val="1"/>
        <w:rPr>
          <w:rFonts w:cs="Arial"/>
          <w:bCs/>
          <w:iCs/>
          <w:szCs w:val="22"/>
          <w:lang w:eastAsia="ja-JP"/>
        </w:rPr>
      </w:pPr>
    </w:p>
    <w:p w14:paraId="680444B0" w14:textId="2DC8B734" w:rsidR="005E4F9C" w:rsidRDefault="005E4F9C" w:rsidP="00275C8A">
      <w:pPr>
        <w:keepNext/>
        <w:spacing w:before="240" w:line="320" w:lineRule="atLeast"/>
        <w:contextualSpacing/>
        <w:outlineLvl w:val="1"/>
        <w:rPr>
          <w:rFonts w:cs="Arial"/>
          <w:bCs/>
          <w:iCs/>
          <w:szCs w:val="22"/>
          <w:lang w:eastAsia="ja-JP"/>
        </w:rPr>
      </w:pPr>
      <w:r>
        <w:rPr>
          <w:rFonts w:cs="Arial"/>
          <w:bCs/>
          <w:iCs/>
          <w:szCs w:val="22"/>
          <w:lang w:eastAsia="ja-JP"/>
        </w:rPr>
        <w:t xml:space="preserve">Vid återkommande och omfattande avbokningar av APL-platser liksom när riktlinjer inte följs kan avsteg från prioritetsordningen tillämpas. </w:t>
      </w:r>
    </w:p>
    <w:p w14:paraId="3C850101" w14:textId="77777777" w:rsidR="00360C9F" w:rsidRDefault="00360C9F" w:rsidP="00275C8A">
      <w:pPr>
        <w:keepNext/>
        <w:spacing w:before="240" w:line="320" w:lineRule="atLeast"/>
        <w:contextualSpacing/>
        <w:outlineLvl w:val="1"/>
        <w:rPr>
          <w:rFonts w:cs="Arial"/>
          <w:bCs/>
          <w:iCs/>
          <w:szCs w:val="22"/>
          <w:lang w:eastAsia="ja-JP"/>
        </w:rPr>
      </w:pPr>
    </w:p>
    <w:p w14:paraId="55844AD8" w14:textId="47CA199A" w:rsidR="00360C9F" w:rsidRDefault="00360C9F" w:rsidP="00360C9F">
      <w:pPr>
        <w:rPr>
          <w:rFonts w:eastAsia="MS Mincho"/>
        </w:rPr>
      </w:pPr>
      <w:r w:rsidRPr="00E718EF">
        <w:rPr>
          <w:rFonts w:eastAsia="MS Mincho"/>
        </w:rPr>
        <w:t>För att i möjligaste mån tillmötesgå efterfrågan på APL-platser gäller följande prioritetsordning</w:t>
      </w:r>
      <w:r>
        <w:rPr>
          <w:rFonts w:eastAsia="MS Mincho"/>
        </w:rPr>
        <w:t xml:space="preserve">; </w:t>
      </w:r>
      <w:r w:rsidRPr="00E718EF">
        <w:rPr>
          <w:rFonts w:eastAsia="MS Mincho"/>
        </w:rPr>
        <w:t xml:space="preserve"> </w:t>
      </w:r>
    </w:p>
    <w:p w14:paraId="2F4502A3" w14:textId="0F292F01" w:rsidR="00D70189" w:rsidRDefault="00D70189" w:rsidP="00360C9F">
      <w:pPr>
        <w:rPr>
          <w:rFonts w:eastAsia="MS Mincho"/>
        </w:rPr>
      </w:pPr>
    </w:p>
    <w:p w14:paraId="0201B7D5" w14:textId="7C14E23C" w:rsidR="00D70189" w:rsidRPr="00A42F53" w:rsidRDefault="00D70189" w:rsidP="00D70189">
      <w:pPr>
        <w:pStyle w:val="Liststycke"/>
        <w:numPr>
          <w:ilvl w:val="0"/>
          <w:numId w:val="3"/>
        </w:numPr>
        <w:rPr>
          <w:rFonts w:eastAsia="MS Mincho"/>
        </w:rPr>
      </w:pPr>
      <w:r w:rsidRPr="00A42F53">
        <w:rPr>
          <w:rFonts w:eastAsia="MS Mincho"/>
        </w:rPr>
        <w:t>Studerande från Vård- och omsorgscollege</w:t>
      </w:r>
      <w:r>
        <w:rPr>
          <w:rFonts w:eastAsia="MS Mincho"/>
        </w:rPr>
        <w:t xml:space="preserve"> </w:t>
      </w:r>
      <w:r w:rsidRPr="00A42F53">
        <w:rPr>
          <w:rFonts w:eastAsia="MS Mincho"/>
        </w:rPr>
        <w:t>Stockholmsregionen.</w:t>
      </w:r>
    </w:p>
    <w:p w14:paraId="16F61C68" w14:textId="77777777" w:rsidR="00D70189" w:rsidRPr="00C94CF8" w:rsidRDefault="00D70189" w:rsidP="00D70189">
      <w:pPr>
        <w:rPr>
          <w:rFonts w:eastAsia="MS Mincho"/>
        </w:rPr>
      </w:pPr>
    </w:p>
    <w:p w14:paraId="7AAC73D5" w14:textId="77777777" w:rsidR="00D70189" w:rsidRDefault="00D70189" w:rsidP="00D70189">
      <w:pPr>
        <w:pStyle w:val="Liststycke"/>
        <w:numPr>
          <w:ilvl w:val="0"/>
          <w:numId w:val="3"/>
        </w:numPr>
        <w:rPr>
          <w:rFonts w:eastAsia="MS Mincho"/>
        </w:rPr>
      </w:pPr>
      <w:r w:rsidRPr="00A42F53">
        <w:rPr>
          <w:rFonts w:eastAsia="MS Mincho"/>
        </w:rPr>
        <w:t>Studerande från gymnasieskolor och kommunal vuxenutbildning i Stockholmsregionen.</w:t>
      </w:r>
    </w:p>
    <w:p w14:paraId="44E4B01C" w14:textId="77777777" w:rsidR="00D70189" w:rsidRPr="00A42F53" w:rsidRDefault="00D70189" w:rsidP="00D70189">
      <w:pPr>
        <w:pStyle w:val="Liststycke"/>
        <w:rPr>
          <w:rFonts w:eastAsia="MS Mincho"/>
        </w:rPr>
      </w:pPr>
    </w:p>
    <w:p w14:paraId="1444F439" w14:textId="77777777" w:rsidR="00D70189" w:rsidRPr="00A42F53" w:rsidRDefault="00D70189" w:rsidP="00D70189">
      <w:pPr>
        <w:pStyle w:val="Liststycke"/>
        <w:numPr>
          <w:ilvl w:val="0"/>
          <w:numId w:val="3"/>
        </w:numPr>
        <w:rPr>
          <w:rFonts w:eastAsia="MS Mincho"/>
        </w:rPr>
      </w:pPr>
      <w:r w:rsidRPr="00A42F53">
        <w:rPr>
          <w:rFonts w:eastAsia="MS Mincho"/>
        </w:rPr>
        <w:t xml:space="preserve">Studerande som är folkbokförda i Stockholm och går Vård och omsorgsprogrammet </w:t>
      </w:r>
      <w:r>
        <w:rPr>
          <w:rFonts w:eastAsia="MS Mincho"/>
        </w:rPr>
        <w:t xml:space="preserve">vid </w:t>
      </w:r>
      <w:r w:rsidRPr="00A42F53">
        <w:rPr>
          <w:rFonts w:eastAsia="MS Mincho"/>
        </w:rPr>
        <w:t>skolor utanför Stockholmsregionen.</w:t>
      </w:r>
    </w:p>
    <w:p w14:paraId="3459DE36" w14:textId="77777777" w:rsidR="00D70189" w:rsidRDefault="00D70189" w:rsidP="00D70189">
      <w:pPr>
        <w:rPr>
          <w:rFonts w:eastAsia="MS Mincho"/>
        </w:rPr>
      </w:pPr>
    </w:p>
    <w:p w14:paraId="38FC782F" w14:textId="77777777" w:rsidR="00360C9F" w:rsidRDefault="00360C9F" w:rsidP="00360C9F">
      <w:pPr>
        <w:keepNext/>
        <w:spacing w:before="240" w:line="320" w:lineRule="atLeast"/>
        <w:outlineLvl w:val="1"/>
        <w:rPr>
          <w:rFonts w:eastAsia="MS Mincho" w:cs="Arial"/>
          <w:bCs/>
          <w:iCs/>
          <w:sz w:val="32"/>
          <w:szCs w:val="28"/>
          <w:lang w:eastAsia="ja-JP"/>
        </w:rPr>
      </w:pPr>
      <w:r>
        <w:rPr>
          <w:rFonts w:eastAsia="MS Mincho" w:cs="Arial"/>
          <w:bCs/>
          <w:iCs/>
          <w:sz w:val="32"/>
          <w:szCs w:val="28"/>
          <w:lang w:eastAsia="ja-JP"/>
        </w:rPr>
        <w:t xml:space="preserve">APL- </w:t>
      </w:r>
      <w:r w:rsidRPr="00E26F46">
        <w:rPr>
          <w:rFonts w:eastAsia="MS Mincho" w:cs="Arial"/>
          <w:bCs/>
          <w:iCs/>
          <w:sz w:val="32"/>
          <w:szCs w:val="28"/>
          <w:lang w:eastAsia="ja-JP"/>
        </w:rPr>
        <w:t>perioder</w:t>
      </w:r>
    </w:p>
    <w:p w14:paraId="489B641D" w14:textId="77777777" w:rsidR="00360C9F" w:rsidRPr="00E26F46" w:rsidRDefault="00360C9F" w:rsidP="00360C9F">
      <w:pPr>
        <w:keepNext/>
        <w:spacing w:before="240" w:line="320" w:lineRule="atLeast"/>
        <w:contextualSpacing/>
        <w:outlineLvl w:val="1"/>
        <w:rPr>
          <w:rFonts w:eastAsia="MS Mincho" w:cs="Arial"/>
          <w:bCs/>
          <w:iCs/>
          <w:spacing w:val="-6"/>
          <w:w w:val="99"/>
          <w:sz w:val="32"/>
          <w:szCs w:val="28"/>
          <w:lang w:eastAsia="ja-JP"/>
        </w:rPr>
      </w:pPr>
    </w:p>
    <w:p w14:paraId="0C5C797D" w14:textId="77777777" w:rsidR="00360C9F" w:rsidRDefault="00360C9F" w:rsidP="00360C9F">
      <w:pPr>
        <w:rPr>
          <w:rFonts w:eastAsia="MS Mincho"/>
        </w:rPr>
      </w:pPr>
      <w:r w:rsidRPr="006D68CB">
        <w:rPr>
          <w:rFonts w:eastAsia="MS Mincho"/>
        </w:rPr>
        <w:t xml:space="preserve">För att använda verksamheternas kapacitet maximalt </w:t>
      </w:r>
      <w:r>
        <w:rPr>
          <w:rFonts w:eastAsia="MS Mincho"/>
        </w:rPr>
        <w:t xml:space="preserve">är terminerna </w:t>
      </w:r>
    </w:p>
    <w:p w14:paraId="52AD78CA" w14:textId="1644C125" w:rsidR="00360C9F" w:rsidRDefault="00360C9F" w:rsidP="00360C9F">
      <w:r>
        <w:rPr>
          <w:rFonts w:eastAsia="MS Mincho"/>
        </w:rPr>
        <w:t xml:space="preserve">indelade i </w:t>
      </w:r>
      <w:r w:rsidRPr="00E26F46">
        <w:rPr>
          <w:rFonts w:eastAsia="MS Mincho"/>
        </w:rPr>
        <w:t>perioder</w:t>
      </w:r>
      <w:r>
        <w:rPr>
          <w:rFonts w:eastAsia="MS Mincho"/>
        </w:rPr>
        <w:t>, VT 1–5 och HT 6–9</w:t>
      </w:r>
      <w:r w:rsidRPr="00E26F46">
        <w:rPr>
          <w:rFonts w:eastAsia="MS Mincho"/>
        </w:rPr>
        <w:t xml:space="preserve">. Under </w:t>
      </w:r>
      <w:r>
        <w:rPr>
          <w:rFonts w:eastAsia="MS Mincho"/>
        </w:rPr>
        <w:t xml:space="preserve">både </w:t>
      </w:r>
      <w:r w:rsidRPr="00E26F46">
        <w:rPr>
          <w:rFonts w:eastAsia="MS Mincho"/>
        </w:rPr>
        <w:t xml:space="preserve">vårterminen </w:t>
      </w:r>
      <w:r>
        <w:rPr>
          <w:rFonts w:eastAsia="MS Mincho"/>
        </w:rPr>
        <w:t>och höstterminen är APL-</w:t>
      </w:r>
      <w:r w:rsidRPr="00E26F46">
        <w:rPr>
          <w:rFonts w:eastAsia="MS Mincho"/>
        </w:rPr>
        <w:t>perioderna fyra veckor</w:t>
      </w:r>
      <w:r>
        <w:rPr>
          <w:rFonts w:eastAsia="MS Mincho"/>
        </w:rPr>
        <w:t xml:space="preserve">. APL-veckorna </w:t>
      </w:r>
      <w:r w:rsidRPr="00E26F46">
        <w:rPr>
          <w:rFonts w:eastAsia="MS Mincho"/>
        </w:rPr>
        <w:t xml:space="preserve">måste förläggas inom </w:t>
      </w:r>
      <w:r>
        <w:rPr>
          <w:rFonts w:eastAsia="MS Mincho"/>
        </w:rPr>
        <w:t xml:space="preserve">dessa </w:t>
      </w:r>
      <w:r w:rsidRPr="00E26F46">
        <w:rPr>
          <w:rFonts w:eastAsia="MS Mincho"/>
        </w:rPr>
        <w:t>period</w:t>
      </w:r>
      <w:r>
        <w:rPr>
          <w:rFonts w:eastAsia="MS Mincho"/>
        </w:rPr>
        <w:t>er</w:t>
      </w:r>
      <w:r w:rsidRPr="00E26F46">
        <w:rPr>
          <w:rFonts w:eastAsia="MS Mincho"/>
        </w:rPr>
        <w:t>.</w:t>
      </w:r>
      <w:r>
        <w:rPr>
          <w:rFonts w:eastAsia="MS Mincho"/>
        </w:rPr>
        <w:t xml:space="preserve"> </w:t>
      </w:r>
    </w:p>
    <w:p w14:paraId="63FFC90E" w14:textId="77777777" w:rsidR="00360C9F" w:rsidRDefault="00360C9F" w:rsidP="00360C9F">
      <w:pPr>
        <w:rPr>
          <w:rFonts w:ascii="Calibri" w:hAnsi="Calibri"/>
          <w:szCs w:val="22"/>
        </w:rPr>
      </w:pPr>
    </w:p>
    <w:p w14:paraId="66D0F899" w14:textId="77777777" w:rsidR="00360C9F" w:rsidRDefault="00360C9F" w:rsidP="00360C9F">
      <w:r w:rsidRPr="00555916">
        <w:rPr>
          <w:szCs w:val="22"/>
        </w:rPr>
        <w:t xml:space="preserve">Vårterminen </w:t>
      </w:r>
    </w:p>
    <w:tbl>
      <w:tblPr>
        <w:tblW w:w="9160" w:type="dxa"/>
        <w:tblCellMar>
          <w:left w:w="70" w:type="dxa"/>
          <w:right w:w="70" w:type="dxa"/>
        </w:tblCellMar>
        <w:tblLook w:val="04A0" w:firstRow="1" w:lastRow="0" w:firstColumn="1" w:lastColumn="0" w:noHBand="0" w:noVBand="1"/>
      </w:tblPr>
      <w:tblGrid>
        <w:gridCol w:w="460"/>
        <w:gridCol w:w="470"/>
        <w:gridCol w:w="460"/>
        <w:gridCol w:w="440"/>
        <w:gridCol w:w="460"/>
        <w:gridCol w:w="470"/>
        <w:gridCol w:w="460"/>
        <w:gridCol w:w="460"/>
        <w:gridCol w:w="460"/>
        <w:gridCol w:w="470"/>
        <w:gridCol w:w="460"/>
        <w:gridCol w:w="460"/>
        <w:gridCol w:w="460"/>
        <w:gridCol w:w="470"/>
        <w:gridCol w:w="460"/>
        <w:gridCol w:w="460"/>
        <w:gridCol w:w="460"/>
        <w:gridCol w:w="470"/>
        <w:gridCol w:w="460"/>
        <w:gridCol w:w="440"/>
      </w:tblGrid>
      <w:tr w:rsidR="00360C9F" w:rsidRPr="001919EA" w14:paraId="1D3DC481" w14:textId="77777777" w:rsidTr="0085539D">
        <w:trPr>
          <w:trHeight w:val="288"/>
        </w:trPr>
        <w:tc>
          <w:tcPr>
            <w:tcW w:w="460" w:type="dxa"/>
            <w:tcBorders>
              <w:top w:val="single" w:sz="8" w:space="0" w:color="auto"/>
              <w:left w:val="single" w:sz="8" w:space="0" w:color="auto"/>
              <w:bottom w:val="single" w:sz="4" w:space="0" w:color="auto"/>
              <w:right w:val="nil"/>
            </w:tcBorders>
            <w:shd w:val="clear" w:color="000000" w:fill="FFC000"/>
            <w:noWrap/>
            <w:vAlign w:val="bottom"/>
            <w:hideMark/>
          </w:tcPr>
          <w:p w14:paraId="79DDEF9A" w14:textId="77777777" w:rsidR="00360C9F" w:rsidRPr="001919EA" w:rsidRDefault="00360C9F" w:rsidP="0085539D">
            <w:pPr>
              <w:spacing w:line="240" w:lineRule="auto"/>
              <w:rPr>
                <w:rFonts w:ascii="Times New Roman" w:hAnsi="Times New Roman"/>
                <w:szCs w:val="22"/>
              </w:rPr>
            </w:pPr>
            <w:r w:rsidRPr="001919EA">
              <w:rPr>
                <w:rFonts w:ascii="Times New Roman" w:hAnsi="Times New Roman"/>
                <w:szCs w:val="22"/>
              </w:rPr>
              <w:t> </w:t>
            </w:r>
          </w:p>
        </w:tc>
        <w:tc>
          <w:tcPr>
            <w:tcW w:w="460" w:type="dxa"/>
            <w:tcBorders>
              <w:top w:val="single" w:sz="8" w:space="0" w:color="auto"/>
              <w:left w:val="nil"/>
              <w:bottom w:val="single" w:sz="4" w:space="0" w:color="auto"/>
              <w:right w:val="nil"/>
            </w:tcBorders>
            <w:shd w:val="clear" w:color="000000" w:fill="FFC000"/>
            <w:noWrap/>
            <w:vAlign w:val="bottom"/>
            <w:hideMark/>
          </w:tcPr>
          <w:p w14:paraId="523DE7F9" w14:textId="77777777" w:rsidR="00360C9F" w:rsidRPr="001919EA" w:rsidRDefault="00360C9F" w:rsidP="0085539D">
            <w:pPr>
              <w:spacing w:line="240" w:lineRule="auto"/>
              <w:rPr>
                <w:rFonts w:ascii="Times New Roman" w:hAnsi="Times New Roman"/>
                <w:sz w:val="18"/>
                <w:szCs w:val="18"/>
              </w:rPr>
            </w:pPr>
            <w:r w:rsidRPr="001919EA">
              <w:rPr>
                <w:rFonts w:ascii="Times New Roman" w:hAnsi="Times New Roman"/>
                <w:sz w:val="18"/>
                <w:szCs w:val="18"/>
              </w:rPr>
              <w:t>VT1</w:t>
            </w:r>
          </w:p>
        </w:tc>
        <w:tc>
          <w:tcPr>
            <w:tcW w:w="460" w:type="dxa"/>
            <w:tcBorders>
              <w:top w:val="single" w:sz="8" w:space="0" w:color="auto"/>
              <w:left w:val="nil"/>
              <w:bottom w:val="single" w:sz="4" w:space="0" w:color="auto"/>
              <w:right w:val="nil"/>
            </w:tcBorders>
            <w:shd w:val="clear" w:color="000000" w:fill="FFC000"/>
            <w:noWrap/>
            <w:vAlign w:val="bottom"/>
            <w:hideMark/>
          </w:tcPr>
          <w:p w14:paraId="2BF90D35" w14:textId="77777777" w:rsidR="00360C9F" w:rsidRPr="001919EA" w:rsidRDefault="00360C9F" w:rsidP="0085539D">
            <w:pPr>
              <w:spacing w:line="240" w:lineRule="auto"/>
              <w:rPr>
                <w:rFonts w:ascii="Times New Roman" w:hAnsi="Times New Roman"/>
                <w:b/>
                <w:bCs/>
                <w:szCs w:val="22"/>
              </w:rPr>
            </w:pPr>
            <w:r w:rsidRPr="001919EA">
              <w:rPr>
                <w:rFonts w:ascii="Times New Roman" w:hAnsi="Times New Roman"/>
                <w:b/>
                <w:bCs/>
                <w:szCs w:val="22"/>
              </w:rPr>
              <w:t> </w:t>
            </w:r>
          </w:p>
        </w:tc>
        <w:tc>
          <w:tcPr>
            <w:tcW w:w="440" w:type="dxa"/>
            <w:tcBorders>
              <w:top w:val="single" w:sz="8" w:space="0" w:color="auto"/>
              <w:left w:val="nil"/>
              <w:bottom w:val="single" w:sz="4" w:space="0" w:color="auto"/>
              <w:right w:val="single" w:sz="8" w:space="0" w:color="auto"/>
            </w:tcBorders>
            <w:shd w:val="clear" w:color="000000" w:fill="FFC000"/>
            <w:noWrap/>
            <w:vAlign w:val="bottom"/>
            <w:hideMark/>
          </w:tcPr>
          <w:p w14:paraId="0C7C6440" w14:textId="77777777" w:rsidR="00360C9F" w:rsidRPr="001919EA" w:rsidRDefault="00360C9F" w:rsidP="0085539D">
            <w:pPr>
              <w:spacing w:line="240" w:lineRule="auto"/>
              <w:rPr>
                <w:rFonts w:ascii="Times New Roman" w:hAnsi="Times New Roman"/>
                <w:szCs w:val="22"/>
              </w:rPr>
            </w:pPr>
            <w:r w:rsidRPr="001919EA">
              <w:rPr>
                <w:rFonts w:ascii="Times New Roman" w:hAnsi="Times New Roman"/>
                <w:szCs w:val="22"/>
              </w:rPr>
              <w:t> </w:t>
            </w:r>
          </w:p>
        </w:tc>
        <w:tc>
          <w:tcPr>
            <w:tcW w:w="460" w:type="dxa"/>
            <w:tcBorders>
              <w:top w:val="single" w:sz="8" w:space="0" w:color="auto"/>
              <w:left w:val="nil"/>
              <w:bottom w:val="single" w:sz="4" w:space="0" w:color="auto"/>
              <w:right w:val="nil"/>
            </w:tcBorders>
            <w:shd w:val="clear" w:color="000000" w:fill="00B0F0"/>
            <w:noWrap/>
            <w:vAlign w:val="bottom"/>
            <w:hideMark/>
          </w:tcPr>
          <w:p w14:paraId="1B1EB55B" w14:textId="77777777" w:rsidR="00360C9F" w:rsidRPr="001919EA" w:rsidRDefault="00360C9F" w:rsidP="0085539D">
            <w:pPr>
              <w:spacing w:line="240" w:lineRule="auto"/>
              <w:rPr>
                <w:rFonts w:ascii="Times New Roman" w:hAnsi="Times New Roman"/>
                <w:szCs w:val="22"/>
              </w:rPr>
            </w:pPr>
            <w:r w:rsidRPr="001919EA">
              <w:rPr>
                <w:rFonts w:ascii="Times New Roman" w:hAnsi="Times New Roman"/>
                <w:szCs w:val="22"/>
              </w:rPr>
              <w:t> </w:t>
            </w:r>
          </w:p>
        </w:tc>
        <w:tc>
          <w:tcPr>
            <w:tcW w:w="460" w:type="dxa"/>
            <w:tcBorders>
              <w:top w:val="single" w:sz="8" w:space="0" w:color="auto"/>
              <w:left w:val="nil"/>
              <w:bottom w:val="single" w:sz="4" w:space="0" w:color="auto"/>
              <w:right w:val="nil"/>
            </w:tcBorders>
            <w:shd w:val="clear" w:color="000000" w:fill="00B0F0"/>
            <w:noWrap/>
            <w:vAlign w:val="bottom"/>
            <w:hideMark/>
          </w:tcPr>
          <w:p w14:paraId="04203031" w14:textId="77777777" w:rsidR="00360C9F" w:rsidRPr="001919EA" w:rsidRDefault="00360C9F" w:rsidP="0085539D">
            <w:pPr>
              <w:spacing w:line="240" w:lineRule="auto"/>
              <w:rPr>
                <w:rFonts w:ascii="Times New Roman" w:hAnsi="Times New Roman"/>
                <w:sz w:val="18"/>
                <w:szCs w:val="18"/>
              </w:rPr>
            </w:pPr>
            <w:r w:rsidRPr="001919EA">
              <w:rPr>
                <w:rFonts w:ascii="Times New Roman" w:hAnsi="Times New Roman"/>
                <w:sz w:val="18"/>
                <w:szCs w:val="18"/>
              </w:rPr>
              <w:t>VT2</w:t>
            </w:r>
          </w:p>
        </w:tc>
        <w:tc>
          <w:tcPr>
            <w:tcW w:w="460" w:type="dxa"/>
            <w:tcBorders>
              <w:top w:val="single" w:sz="8" w:space="0" w:color="auto"/>
              <w:left w:val="nil"/>
              <w:bottom w:val="single" w:sz="4" w:space="0" w:color="auto"/>
              <w:right w:val="nil"/>
            </w:tcBorders>
            <w:shd w:val="clear" w:color="000000" w:fill="00B0F0"/>
            <w:noWrap/>
            <w:vAlign w:val="bottom"/>
            <w:hideMark/>
          </w:tcPr>
          <w:p w14:paraId="61E569E4" w14:textId="77777777" w:rsidR="00360C9F" w:rsidRPr="001919EA" w:rsidRDefault="00360C9F" w:rsidP="0085539D">
            <w:pPr>
              <w:spacing w:line="240" w:lineRule="auto"/>
              <w:rPr>
                <w:rFonts w:ascii="Times New Roman" w:hAnsi="Times New Roman"/>
                <w:szCs w:val="22"/>
              </w:rPr>
            </w:pPr>
            <w:r w:rsidRPr="001919EA">
              <w:rPr>
                <w:rFonts w:ascii="Times New Roman" w:hAnsi="Times New Roman"/>
                <w:szCs w:val="22"/>
              </w:rPr>
              <w:t> </w:t>
            </w:r>
          </w:p>
        </w:tc>
        <w:tc>
          <w:tcPr>
            <w:tcW w:w="460" w:type="dxa"/>
            <w:tcBorders>
              <w:top w:val="single" w:sz="8" w:space="0" w:color="auto"/>
              <w:left w:val="nil"/>
              <w:bottom w:val="single" w:sz="4" w:space="0" w:color="auto"/>
              <w:right w:val="single" w:sz="8" w:space="0" w:color="auto"/>
            </w:tcBorders>
            <w:shd w:val="clear" w:color="000000" w:fill="00B0F0"/>
            <w:noWrap/>
            <w:vAlign w:val="bottom"/>
            <w:hideMark/>
          </w:tcPr>
          <w:p w14:paraId="391C4278" w14:textId="77777777" w:rsidR="00360C9F" w:rsidRPr="001919EA" w:rsidRDefault="00360C9F" w:rsidP="0085539D">
            <w:pPr>
              <w:spacing w:line="240" w:lineRule="auto"/>
              <w:rPr>
                <w:rFonts w:ascii="Times New Roman" w:hAnsi="Times New Roman"/>
                <w:szCs w:val="22"/>
              </w:rPr>
            </w:pPr>
            <w:r w:rsidRPr="001919EA">
              <w:rPr>
                <w:rFonts w:ascii="Times New Roman" w:hAnsi="Times New Roman"/>
                <w:szCs w:val="22"/>
              </w:rPr>
              <w:t> </w:t>
            </w:r>
          </w:p>
        </w:tc>
        <w:tc>
          <w:tcPr>
            <w:tcW w:w="460" w:type="dxa"/>
            <w:tcBorders>
              <w:top w:val="single" w:sz="8" w:space="0" w:color="auto"/>
              <w:left w:val="nil"/>
              <w:bottom w:val="single" w:sz="4" w:space="0" w:color="auto"/>
              <w:right w:val="nil"/>
            </w:tcBorders>
            <w:shd w:val="clear" w:color="000000" w:fill="B1A0C7"/>
            <w:noWrap/>
            <w:vAlign w:val="bottom"/>
            <w:hideMark/>
          </w:tcPr>
          <w:p w14:paraId="0C2ECBFD" w14:textId="77777777" w:rsidR="00360C9F" w:rsidRPr="001919EA" w:rsidRDefault="00360C9F" w:rsidP="0085539D">
            <w:pPr>
              <w:spacing w:line="240" w:lineRule="auto"/>
              <w:rPr>
                <w:rFonts w:ascii="Times New Roman" w:hAnsi="Times New Roman"/>
                <w:szCs w:val="22"/>
              </w:rPr>
            </w:pPr>
            <w:r w:rsidRPr="001919EA">
              <w:rPr>
                <w:rFonts w:ascii="Times New Roman" w:hAnsi="Times New Roman"/>
                <w:szCs w:val="22"/>
              </w:rPr>
              <w:t> </w:t>
            </w:r>
          </w:p>
        </w:tc>
        <w:tc>
          <w:tcPr>
            <w:tcW w:w="460" w:type="dxa"/>
            <w:tcBorders>
              <w:top w:val="single" w:sz="8" w:space="0" w:color="auto"/>
              <w:left w:val="nil"/>
              <w:bottom w:val="single" w:sz="4" w:space="0" w:color="auto"/>
              <w:right w:val="nil"/>
            </w:tcBorders>
            <w:shd w:val="clear" w:color="000000" w:fill="B1A0C7"/>
            <w:noWrap/>
            <w:vAlign w:val="bottom"/>
            <w:hideMark/>
          </w:tcPr>
          <w:p w14:paraId="7A546CF1" w14:textId="77777777" w:rsidR="00360C9F" w:rsidRPr="001919EA" w:rsidRDefault="00360C9F" w:rsidP="0085539D">
            <w:pPr>
              <w:spacing w:line="240" w:lineRule="auto"/>
              <w:rPr>
                <w:rFonts w:ascii="Times New Roman" w:hAnsi="Times New Roman"/>
                <w:sz w:val="18"/>
                <w:szCs w:val="18"/>
              </w:rPr>
            </w:pPr>
            <w:r w:rsidRPr="001919EA">
              <w:rPr>
                <w:rFonts w:ascii="Times New Roman" w:hAnsi="Times New Roman"/>
                <w:sz w:val="18"/>
                <w:szCs w:val="18"/>
              </w:rPr>
              <w:t>VT3</w:t>
            </w:r>
          </w:p>
        </w:tc>
        <w:tc>
          <w:tcPr>
            <w:tcW w:w="460" w:type="dxa"/>
            <w:tcBorders>
              <w:top w:val="single" w:sz="8" w:space="0" w:color="auto"/>
              <w:left w:val="nil"/>
              <w:bottom w:val="single" w:sz="4" w:space="0" w:color="auto"/>
              <w:right w:val="nil"/>
            </w:tcBorders>
            <w:shd w:val="clear" w:color="000000" w:fill="B1A0C7"/>
            <w:noWrap/>
            <w:vAlign w:val="bottom"/>
            <w:hideMark/>
          </w:tcPr>
          <w:p w14:paraId="13E4570F" w14:textId="77777777" w:rsidR="00360C9F" w:rsidRPr="001919EA" w:rsidRDefault="00360C9F" w:rsidP="0085539D">
            <w:pPr>
              <w:spacing w:line="240" w:lineRule="auto"/>
              <w:rPr>
                <w:rFonts w:ascii="Times New Roman" w:hAnsi="Times New Roman"/>
                <w:szCs w:val="22"/>
              </w:rPr>
            </w:pPr>
            <w:r w:rsidRPr="001919EA">
              <w:rPr>
                <w:rFonts w:ascii="Times New Roman" w:hAnsi="Times New Roman"/>
                <w:szCs w:val="22"/>
              </w:rPr>
              <w:t> </w:t>
            </w:r>
          </w:p>
        </w:tc>
        <w:tc>
          <w:tcPr>
            <w:tcW w:w="460" w:type="dxa"/>
            <w:tcBorders>
              <w:top w:val="single" w:sz="8" w:space="0" w:color="auto"/>
              <w:left w:val="nil"/>
              <w:bottom w:val="single" w:sz="4" w:space="0" w:color="auto"/>
              <w:right w:val="single" w:sz="8" w:space="0" w:color="auto"/>
            </w:tcBorders>
            <w:shd w:val="clear" w:color="000000" w:fill="B1A0C7"/>
            <w:noWrap/>
            <w:vAlign w:val="bottom"/>
            <w:hideMark/>
          </w:tcPr>
          <w:p w14:paraId="39EC9784" w14:textId="77777777" w:rsidR="00360C9F" w:rsidRPr="001919EA" w:rsidRDefault="00360C9F" w:rsidP="0085539D">
            <w:pPr>
              <w:spacing w:line="240" w:lineRule="auto"/>
              <w:rPr>
                <w:rFonts w:ascii="Times New Roman" w:hAnsi="Times New Roman"/>
                <w:szCs w:val="22"/>
              </w:rPr>
            </w:pPr>
            <w:r w:rsidRPr="001919EA">
              <w:rPr>
                <w:rFonts w:ascii="Times New Roman" w:hAnsi="Times New Roman"/>
                <w:szCs w:val="22"/>
              </w:rPr>
              <w:t> </w:t>
            </w:r>
          </w:p>
        </w:tc>
        <w:tc>
          <w:tcPr>
            <w:tcW w:w="460" w:type="dxa"/>
            <w:tcBorders>
              <w:top w:val="single" w:sz="8" w:space="0" w:color="auto"/>
              <w:left w:val="nil"/>
              <w:bottom w:val="single" w:sz="4" w:space="0" w:color="auto"/>
              <w:right w:val="nil"/>
            </w:tcBorders>
            <w:shd w:val="clear" w:color="000000" w:fill="92D050"/>
            <w:noWrap/>
            <w:vAlign w:val="bottom"/>
            <w:hideMark/>
          </w:tcPr>
          <w:p w14:paraId="447D7E37" w14:textId="77777777" w:rsidR="00360C9F" w:rsidRPr="001919EA" w:rsidRDefault="00360C9F" w:rsidP="0085539D">
            <w:pPr>
              <w:spacing w:line="240" w:lineRule="auto"/>
              <w:rPr>
                <w:rFonts w:ascii="Times New Roman" w:hAnsi="Times New Roman"/>
                <w:szCs w:val="22"/>
              </w:rPr>
            </w:pPr>
            <w:r w:rsidRPr="001919EA">
              <w:rPr>
                <w:rFonts w:ascii="Times New Roman" w:hAnsi="Times New Roman"/>
                <w:szCs w:val="22"/>
              </w:rPr>
              <w:t> </w:t>
            </w:r>
          </w:p>
        </w:tc>
        <w:tc>
          <w:tcPr>
            <w:tcW w:w="460" w:type="dxa"/>
            <w:tcBorders>
              <w:top w:val="single" w:sz="8" w:space="0" w:color="auto"/>
              <w:left w:val="nil"/>
              <w:bottom w:val="single" w:sz="4" w:space="0" w:color="auto"/>
              <w:right w:val="nil"/>
            </w:tcBorders>
            <w:shd w:val="clear" w:color="000000" w:fill="92D050"/>
            <w:noWrap/>
            <w:vAlign w:val="bottom"/>
            <w:hideMark/>
          </w:tcPr>
          <w:p w14:paraId="1D5FE6F7" w14:textId="77777777" w:rsidR="00360C9F" w:rsidRPr="001919EA" w:rsidRDefault="00360C9F" w:rsidP="0085539D">
            <w:pPr>
              <w:spacing w:line="240" w:lineRule="auto"/>
              <w:rPr>
                <w:rFonts w:ascii="Times New Roman" w:hAnsi="Times New Roman"/>
                <w:sz w:val="18"/>
                <w:szCs w:val="18"/>
              </w:rPr>
            </w:pPr>
            <w:r w:rsidRPr="001919EA">
              <w:rPr>
                <w:rFonts w:ascii="Times New Roman" w:hAnsi="Times New Roman"/>
                <w:sz w:val="18"/>
                <w:szCs w:val="18"/>
              </w:rPr>
              <w:t>VT4</w:t>
            </w:r>
          </w:p>
        </w:tc>
        <w:tc>
          <w:tcPr>
            <w:tcW w:w="460" w:type="dxa"/>
            <w:tcBorders>
              <w:top w:val="single" w:sz="8" w:space="0" w:color="auto"/>
              <w:left w:val="nil"/>
              <w:bottom w:val="single" w:sz="4" w:space="0" w:color="auto"/>
              <w:right w:val="nil"/>
            </w:tcBorders>
            <w:shd w:val="clear" w:color="000000" w:fill="92D050"/>
            <w:noWrap/>
            <w:vAlign w:val="bottom"/>
            <w:hideMark/>
          </w:tcPr>
          <w:p w14:paraId="032C4330" w14:textId="77777777" w:rsidR="00360C9F" w:rsidRPr="001919EA" w:rsidRDefault="00360C9F" w:rsidP="0085539D">
            <w:pPr>
              <w:spacing w:line="240" w:lineRule="auto"/>
              <w:rPr>
                <w:rFonts w:ascii="Times New Roman" w:hAnsi="Times New Roman"/>
                <w:szCs w:val="22"/>
              </w:rPr>
            </w:pPr>
            <w:r w:rsidRPr="001919EA">
              <w:rPr>
                <w:rFonts w:ascii="Times New Roman" w:hAnsi="Times New Roman"/>
                <w:szCs w:val="22"/>
              </w:rPr>
              <w:t> </w:t>
            </w:r>
          </w:p>
        </w:tc>
        <w:tc>
          <w:tcPr>
            <w:tcW w:w="460" w:type="dxa"/>
            <w:tcBorders>
              <w:top w:val="single" w:sz="8" w:space="0" w:color="auto"/>
              <w:left w:val="nil"/>
              <w:bottom w:val="single" w:sz="4" w:space="0" w:color="auto"/>
              <w:right w:val="single" w:sz="8" w:space="0" w:color="auto"/>
            </w:tcBorders>
            <w:shd w:val="clear" w:color="000000" w:fill="92D050"/>
            <w:noWrap/>
            <w:vAlign w:val="bottom"/>
            <w:hideMark/>
          </w:tcPr>
          <w:p w14:paraId="541A376B" w14:textId="77777777" w:rsidR="00360C9F" w:rsidRPr="001919EA" w:rsidRDefault="00360C9F" w:rsidP="0085539D">
            <w:pPr>
              <w:spacing w:line="240" w:lineRule="auto"/>
              <w:rPr>
                <w:rFonts w:ascii="Times New Roman" w:hAnsi="Times New Roman"/>
                <w:szCs w:val="22"/>
              </w:rPr>
            </w:pPr>
            <w:r w:rsidRPr="001919EA">
              <w:rPr>
                <w:rFonts w:ascii="Times New Roman" w:hAnsi="Times New Roman"/>
                <w:szCs w:val="22"/>
              </w:rPr>
              <w:t> </w:t>
            </w:r>
          </w:p>
        </w:tc>
        <w:tc>
          <w:tcPr>
            <w:tcW w:w="460" w:type="dxa"/>
            <w:tcBorders>
              <w:top w:val="single" w:sz="8" w:space="0" w:color="auto"/>
              <w:left w:val="nil"/>
              <w:bottom w:val="single" w:sz="4" w:space="0" w:color="auto"/>
              <w:right w:val="nil"/>
            </w:tcBorders>
            <w:shd w:val="clear" w:color="000000" w:fill="B7DEE8"/>
            <w:noWrap/>
            <w:vAlign w:val="bottom"/>
            <w:hideMark/>
          </w:tcPr>
          <w:p w14:paraId="0CCCD972" w14:textId="77777777" w:rsidR="00360C9F" w:rsidRPr="001919EA" w:rsidRDefault="00360C9F" w:rsidP="0085539D">
            <w:pPr>
              <w:spacing w:line="240" w:lineRule="auto"/>
              <w:rPr>
                <w:rFonts w:ascii="Times New Roman" w:hAnsi="Times New Roman"/>
                <w:szCs w:val="22"/>
              </w:rPr>
            </w:pPr>
            <w:r w:rsidRPr="001919EA">
              <w:rPr>
                <w:rFonts w:ascii="Times New Roman" w:hAnsi="Times New Roman"/>
                <w:szCs w:val="22"/>
              </w:rPr>
              <w:t> </w:t>
            </w:r>
          </w:p>
        </w:tc>
        <w:tc>
          <w:tcPr>
            <w:tcW w:w="460" w:type="dxa"/>
            <w:tcBorders>
              <w:top w:val="single" w:sz="8" w:space="0" w:color="auto"/>
              <w:left w:val="nil"/>
              <w:bottom w:val="single" w:sz="4" w:space="0" w:color="auto"/>
              <w:right w:val="nil"/>
            </w:tcBorders>
            <w:shd w:val="clear" w:color="000000" w:fill="B7DEE8"/>
            <w:noWrap/>
            <w:vAlign w:val="bottom"/>
            <w:hideMark/>
          </w:tcPr>
          <w:p w14:paraId="29BE9F2A" w14:textId="77777777" w:rsidR="00360C9F" w:rsidRPr="001919EA" w:rsidRDefault="00360C9F" w:rsidP="0085539D">
            <w:pPr>
              <w:spacing w:line="240" w:lineRule="auto"/>
              <w:rPr>
                <w:rFonts w:ascii="Times New Roman" w:hAnsi="Times New Roman"/>
                <w:sz w:val="18"/>
                <w:szCs w:val="18"/>
              </w:rPr>
            </w:pPr>
            <w:r w:rsidRPr="001919EA">
              <w:rPr>
                <w:rFonts w:ascii="Times New Roman" w:hAnsi="Times New Roman"/>
                <w:sz w:val="18"/>
                <w:szCs w:val="18"/>
              </w:rPr>
              <w:t>VT5</w:t>
            </w:r>
          </w:p>
        </w:tc>
        <w:tc>
          <w:tcPr>
            <w:tcW w:w="460" w:type="dxa"/>
            <w:tcBorders>
              <w:top w:val="single" w:sz="8" w:space="0" w:color="auto"/>
              <w:left w:val="nil"/>
              <w:bottom w:val="single" w:sz="4" w:space="0" w:color="auto"/>
              <w:right w:val="nil"/>
            </w:tcBorders>
            <w:shd w:val="clear" w:color="000000" w:fill="B7DEE8"/>
            <w:noWrap/>
            <w:vAlign w:val="bottom"/>
            <w:hideMark/>
          </w:tcPr>
          <w:p w14:paraId="10ECE34E" w14:textId="77777777" w:rsidR="00360C9F" w:rsidRPr="001919EA" w:rsidRDefault="00360C9F" w:rsidP="0085539D">
            <w:pPr>
              <w:spacing w:line="240" w:lineRule="auto"/>
              <w:rPr>
                <w:rFonts w:ascii="Times New Roman" w:hAnsi="Times New Roman"/>
                <w:szCs w:val="22"/>
              </w:rPr>
            </w:pPr>
            <w:r w:rsidRPr="001919EA">
              <w:rPr>
                <w:rFonts w:ascii="Times New Roman" w:hAnsi="Times New Roman"/>
                <w:szCs w:val="22"/>
              </w:rPr>
              <w:t> </w:t>
            </w:r>
          </w:p>
        </w:tc>
        <w:tc>
          <w:tcPr>
            <w:tcW w:w="440" w:type="dxa"/>
            <w:tcBorders>
              <w:top w:val="single" w:sz="8" w:space="0" w:color="auto"/>
              <w:left w:val="nil"/>
              <w:bottom w:val="single" w:sz="4" w:space="0" w:color="auto"/>
              <w:right w:val="single" w:sz="8" w:space="0" w:color="auto"/>
            </w:tcBorders>
            <w:shd w:val="clear" w:color="000000" w:fill="B7DEE8"/>
            <w:noWrap/>
            <w:vAlign w:val="bottom"/>
            <w:hideMark/>
          </w:tcPr>
          <w:p w14:paraId="6AD8E107" w14:textId="77777777" w:rsidR="00360C9F" w:rsidRPr="001919EA" w:rsidRDefault="00360C9F" w:rsidP="0085539D">
            <w:pPr>
              <w:spacing w:line="240" w:lineRule="auto"/>
              <w:rPr>
                <w:rFonts w:ascii="Times New Roman" w:hAnsi="Times New Roman"/>
                <w:szCs w:val="22"/>
              </w:rPr>
            </w:pPr>
            <w:r w:rsidRPr="001919EA">
              <w:rPr>
                <w:rFonts w:ascii="Times New Roman" w:hAnsi="Times New Roman"/>
                <w:szCs w:val="22"/>
              </w:rPr>
              <w:t> </w:t>
            </w:r>
          </w:p>
        </w:tc>
      </w:tr>
      <w:tr w:rsidR="00360C9F" w:rsidRPr="001919EA" w14:paraId="3C5C17BD" w14:textId="77777777" w:rsidTr="0085539D">
        <w:trPr>
          <w:trHeight w:val="360"/>
        </w:trPr>
        <w:tc>
          <w:tcPr>
            <w:tcW w:w="460" w:type="dxa"/>
            <w:tcBorders>
              <w:top w:val="single" w:sz="4" w:space="0" w:color="auto"/>
              <w:left w:val="single" w:sz="8" w:space="0" w:color="auto"/>
              <w:bottom w:val="single" w:sz="8" w:space="0" w:color="auto"/>
              <w:right w:val="single" w:sz="4" w:space="0" w:color="auto"/>
            </w:tcBorders>
            <w:shd w:val="clear" w:color="000000" w:fill="FFC000"/>
            <w:noWrap/>
            <w:vAlign w:val="bottom"/>
            <w:hideMark/>
          </w:tcPr>
          <w:p w14:paraId="65A83F2F" w14:textId="77777777" w:rsidR="00360C9F" w:rsidRPr="001919EA" w:rsidRDefault="00360C9F" w:rsidP="0085539D">
            <w:pPr>
              <w:spacing w:line="240" w:lineRule="auto"/>
              <w:jc w:val="right"/>
              <w:rPr>
                <w:rFonts w:ascii="Arial" w:hAnsi="Arial" w:cs="Arial"/>
                <w:sz w:val="20"/>
                <w:szCs w:val="20"/>
              </w:rPr>
            </w:pPr>
            <w:r w:rsidRPr="001919EA">
              <w:rPr>
                <w:rFonts w:ascii="Arial" w:hAnsi="Arial" w:cs="Arial"/>
                <w:sz w:val="20"/>
                <w:szCs w:val="20"/>
              </w:rPr>
              <w:t>2</w:t>
            </w:r>
          </w:p>
        </w:tc>
        <w:tc>
          <w:tcPr>
            <w:tcW w:w="460" w:type="dxa"/>
            <w:tcBorders>
              <w:top w:val="single" w:sz="4" w:space="0" w:color="auto"/>
              <w:left w:val="nil"/>
              <w:bottom w:val="single" w:sz="8" w:space="0" w:color="auto"/>
              <w:right w:val="single" w:sz="4" w:space="0" w:color="auto"/>
            </w:tcBorders>
            <w:shd w:val="clear" w:color="000000" w:fill="FFC000"/>
            <w:noWrap/>
            <w:vAlign w:val="bottom"/>
            <w:hideMark/>
          </w:tcPr>
          <w:p w14:paraId="028CE25E" w14:textId="77777777" w:rsidR="00360C9F" w:rsidRPr="001919EA" w:rsidRDefault="00360C9F" w:rsidP="0085539D">
            <w:pPr>
              <w:spacing w:line="240" w:lineRule="auto"/>
              <w:jc w:val="right"/>
              <w:rPr>
                <w:rFonts w:ascii="Arial" w:hAnsi="Arial" w:cs="Arial"/>
                <w:sz w:val="20"/>
                <w:szCs w:val="20"/>
              </w:rPr>
            </w:pPr>
            <w:r w:rsidRPr="001919EA">
              <w:rPr>
                <w:rFonts w:ascii="Arial" w:hAnsi="Arial" w:cs="Arial"/>
                <w:sz w:val="20"/>
                <w:szCs w:val="20"/>
              </w:rPr>
              <w:t>3</w:t>
            </w:r>
          </w:p>
        </w:tc>
        <w:tc>
          <w:tcPr>
            <w:tcW w:w="460" w:type="dxa"/>
            <w:tcBorders>
              <w:top w:val="single" w:sz="4" w:space="0" w:color="auto"/>
              <w:left w:val="nil"/>
              <w:bottom w:val="single" w:sz="8" w:space="0" w:color="auto"/>
              <w:right w:val="single" w:sz="4" w:space="0" w:color="auto"/>
            </w:tcBorders>
            <w:shd w:val="clear" w:color="000000" w:fill="FFC000"/>
            <w:noWrap/>
            <w:vAlign w:val="bottom"/>
            <w:hideMark/>
          </w:tcPr>
          <w:p w14:paraId="71D4E006" w14:textId="77777777" w:rsidR="00360C9F" w:rsidRPr="001919EA" w:rsidRDefault="00360C9F" w:rsidP="0085539D">
            <w:pPr>
              <w:spacing w:line="240" w:lineRule="auto"/>
              <w:jc w:val="right"/>
              <w:rPr>
                <w:rFonts w:ascii="Arial" w:hAnsi="Arial" w:cs="Arial"/>
                <w:sz w:val="20"/>
                <w:szCs w:val="20"/>
              </w:rPr>
            </w:pPr>
            <w:r w:rsidRPr="001919EA">
              <w:rPr>
                <w:rFonts w:ascii="Arial" w:hAnsi="Arial" w:cs="Arial"/>
                <w:sz w:val="20"/>
                <w:szCs w:val="20"/>
              </w:rPr>
              <w:t>4</w:t>
            </w:r>
          </w:p>
        </w:tc>
        <w:tc>
          <w:tcPr>
            <w:tcW w:w="440" w:type="dxa"/>
            <w:tcBorders>
              <w:top w:val="single" w:sz="4" w:space="0" w:color="auto"/>
              <w:left w:val="nil"/>
              <w:bottom w:val="single" w:sz="8" w:space="0" w:color="auto"/>
              <w:right w:val="single" w:sz="8" w:space="0" w:color="auto"/>
            </w:tcBorders>
            <w:shd w:val="clear" w:color="000000" w:fill="FFC000"/>
            <w:noWrap/>
            <w:vAlign w:val="bottom"/>
            <w:hideMark/>
          </w:tcPr>
          <w:p w14:paraId="0EA34903" w14:textId="77777777" w:rsidR="00360C9F" w:rsidRPr="001919EA" w:rsidRDefault="00360C9F" w:rsidP="0085539D">
            <w:pPr>
              <w:spacing w:line="240" w:lineRule="auto"/>
              <w:jc w:val="right"/>
              <w:rPr>
                <w:rFonts w:ascii="Arial" w:hAnsi="Arial" w:cs="Arial"/>
                <w:sz w:val="20"/>
                <w:szCs w:val="20"/>
              </w:rPr>
            </w:pPr>
            <w:r w:rsidRPr="001919EA">
              <w:rPr>
                <w:rFonts w:ascii="Arial" w:hAnsi="Arial" w:cs="Arial"/>
                <w:sz w:val="20"/>
                <w:szCs w:val="20"/>
              </w:rPr>
              <w:t>5</w:t>
            </w:r>
          </w:p>
        </w:tc>
        <w:tc>
          <w:tcPr>
            <w:tcW w:w="460" w:type="dxa"/>
            <w:tcBorders>
              <w:top w:val="single" w:sz="4" w:space="0" w:color="auto"/>
              <w:left w:val="nil"/>
              <w:bottom w:val="single" w:sz="8" w:space="0" w:color="auto"/>
              <w:right w:val="single" w:sz="4" w:space="0" w:color="auto"/>
            </w:tcBorders>
            <w:shd w:val="clear" w:color="000000" w:fill="00B0F0"/>
            <w:noWrap/>
            <w:vAlign w:val="bottom"/>
            <w:hideMark/>
          </w:tcPr>
          <w:p w14:paraId="2934A1D4" w14:textId="77777777" w:rsidR="00360C9F" w:rsidRPr="001919EA" w:rsidRDefault="00360C9F" w:rsidP="0085539D">
            <w:pPr>
              <w:spacing w:line="240" w:lineRule="auto"/>
              <w:jc w:val="right"/>
              <w:rPr>
                <w:rFonts w:ascii="Arial" w:hAnsi="Arial" w:cs="Arial"/>
                <w:sz w:val="20"/>
                <w:szCs w:val="20"/>
              </w:rPr>
            </w:pPr>
            <w:r w:rsidRPr="001919EA">
              <w:rPr>
                <w:rFonts w:ascii="Arial" w:hAnsi="Arial" w:cs="Arial"/>
                <w:sz w:val="20"/>
                <w:szCs w:val="20"/>
              </w:rPr>
              <w:t>6</w:t>
            </w:r>
          </w:p>
        </w:tc>
        <w:tc>
          <w:tcPr>
            <w:tcW w:w="460" w:type="dxa"/>
            <w:tcBorders>
              <w:top w:val="single" w:sz="4" w:space="0" w:color="auto"/>
              <w:left w:val="nil"/>
              <w:bottom w:val="single" w:sz="8" w:space="0" w:color="auto"/>
              <w:right w:val="single" w:sz="4" w:space="0" w:color="auto"/>
            </w:tcBorders>
            <w:shd w:val="clear" w:color="000000" w:fill="00B0F0"/>
            <w:noWrap/>
            <w:vAlign w:val="bottom"/>
            <w:hideMark/>
          </w:tcPr>
          <w:p w14:paraId="6330FC28" w14:textId="77777777" w:rsidR="00360C9F" w:rsidRPr="001919EA" w:rsidRDefault="00360C9F" w:rsidP="0085539D">
            <w:pPr>
              <w:spacing w:line="240" w:lineRule="auto"/>
              <w:jc w:val="right"/>
              <w:rPr>
                <w:rFonts w:ascii="Arial" w:hAnsi="Arial" w:cs="Arial"/>
                <w:sz w:val="20"/>
                <w:szCs w:val="20"/>
              </w:rPr>
            </w:pPr>
            <w:r w:rsidRPr="001919EA">
              <w:rPr>
                <w:rFonts w:ascii="Arial" w:hAnsi="Arial" w:cs="Arial"/>
                <w:sz w:val="20"/>
                <w:szCs w:val="20"/>
              </w:rPr>
              <w:t>7</w:t>
            </w:r>
          </w:p>
        </w:tc>
        <w:tc>
          <w:tcPr>
            <w:tcW w:w="460" w:type="dxa"/>
            <w:tcBorders>
              <w:top w:val="single" w:sz="4" w:space="0" w:color="auto"/>
              <w:left w:val="nil"/>
              <w:bottom w:val="single" w:sz="8" w:space="0" w:color="auto"/>
              <w:right w:val="single" w:sz="4" w:space="0" w:color="auto"/>
            </w:tcBorders>
            <w:shd w:val="clear" w:color="000000" w:fill="00B0F0"/>
            <w:noWrap/>
            <w:vAlign w:val="bottom"/>
            <w:hideMark/>
          </w:tcPr>
          <w:p w14:paraId="694688EF" w14:textId="77777777" w:rsidR="00360C9F" w:rsidRPr="001919EA" w:rsidRDefault="00360C9F" w:rsidP="0085539D">
            <w:pPr>
              <w:spacing w:line="240" w:lineRule="auto"/>
              <w:jc w:val="right"/>
              <w:rPr>
                <w:rFonts w:ascii="Arial" w:hAnsi="Arial" w:cs="Arial"/>
                <w:sz w:val="20"/>
                <w:szCs w:val="20"/>
              </w:rPr>
            </w:pPr>
            <w:r w:rsidRPr="001919EA">
              <w:rPr>
                <w:rFonts w:ascii="Arial" w:hAnsi="Arial" w:cs="Arial"/>
                <w:sz w:val="20"/>
                <w:szCs w:val="20"/>
              </w:rPr>
              <w:t>8</w:t>
            </w:r>
          </w:p>
        </w:tc>
        <w:tc>
          <w:tcPr>
            <w:tcW w:w="460" w:type="dxa"/>
            <w:tcBorders>
              <w:top w:val="single" w:sz="4" w:space="0" w:color="auto"/>
              <w:left w:val="nil"/>
              <w:bottom w:val="single" w:sz="8" w:space="0" w:color="auto"/>
              <w:right w:val="single" w:sz="8" w:space="0" w:color="auto"/>
            </w:tcBorders>
            <w:shd w:val="clear" w:color="000000" w:fill="00B0F0"/>
            <w:noWrap/>
            <w:vAlign w:val="bottom"/>
            <w:hideMark/>
          </w:tcPr>
          <w:p w14:paraId="52002312" w14:textId="77777777" w:rsidR="00360C9F" w:rsidRPr="001919EA" w:rsidRDefault="00360C9F" w:rsidP="0085539D">
            <w:pPr>
              <w:spacing w:line="240" w:lineRule="auto"/>
              <w:jc w:val="right"/>
              <w:rPr>
                <w:rFonts w:ascii="Times New Roman" w:hAnsi="Times New Roman"/>
                <w:szCs w:val="22"/>
              </w:rPr>
            </w:pPr>
            <w:r w:rsidRPr="001919EA">
              <w:rPr>
                <w:rFonts w:ascii="Times New Roman" w:hAnsi="Times New Roman"/>
                <w:szCs w:val="22"/>
              </w:rPr>
              <w:t>9</w:t>
            </w:r>
          </w:p>
        </w:tc>
        <w:tc>
          <w:tcPr>
            <w:tcW w:w="460" w:type="dxa"/>
            <w:tcBorders>
              <w:top w:val="single" w:sz="4" w:space="0" w:color="auto"/>
              <w:left w:val="nil"/>
              <w:bottom w:val="single" w:sz="8" w:space="0" w:color="auto"/>
              <w:right w:val="single" w:sz="4" w:space="0" w:color="auto"/>
            </w:tcBorders>
            <w:shd w:val="clear" w:color="000000" w:fill="B1A0C7"/>
            <w:noWrap/>
            <w:vAlign w:val="bottom"/>
            <w:hideMark/>
          </w:tcPr>
          <w:p w14:paraId="6A4E591B" w14:textId="77777777" w:rsidR="00360C9F" w:rsidRPr="001919EA" w:rsidRDefault="00360C9F" w:rsidP="0085539D">
            <w:pPr>
              <w:spacing w:line="240" w:lineRule="auto"/>
              <w:jc w:val="right"/>
              <w:rPr>
                <w:rFonts w:ascii="Arial" w:hAnsi="Arial" w:cs="Arial"/>
                <w:sz w:val="20"/>
                <w:szCs w:val="20"/>
              </w:rPr>
            </w:pPr>
            <w:r w:rsidRPr="001919EA">
              <w:rPr>
                <w:rFonts w:ascii="Arial" w:hAnsi="Arial" w:cs="Arial"/>
                <w:sz w:val="20"/>
                <w:szCs w:val="20"/>
              </w:rPr>
              <w:t>10</w:t>
            </w:r>
          </w:p>
        </w:tc>
        <w:tc>
          <w:tcPr>
            <w:tcW w:w="460" w:type="dxa"/>
            <w:tcBorders>
              <w:top w:val="single" w:sz="4" w:space="0" w:color="auto"/>
              <w:left w:val="nil"/>
              <w:bottom w:val="single" w:sz="8" w:space="0" w:color="auto"/>
              <w:right w:val="single" w:sz="4" w:space="0" w:color="auto"/>
            </w:tcBorders>
            <w:shd w:val="clear" w:color="000000" w:fill="B1A0C7"/>
            <w:noWrap/>
            <w:vAlign w:val="bottom"/>
            <w:hideMark/>
          </w:tcPr>
          <w:p w14:paraId="5ABD4C68" w14:textId="77777777" w:rsidR="00360C9F" w:rsidRPr="001919EA" w:rsidRDefault="00360C9F" w:rsidP="0085539D">
            <w:pPr>
              <w:spacing w:line="240" w:lineRule="auto"/>
              <w:jc w:val="right"/>
              <w:rPr>
                <w:rFonts w:ascii="Arial" w:hAnsi="Arial" w:cs="Arial"/>
                <w:sz w:val="20"/>
                <w:szCs w:val="20"/>
              </w:rPr>
            </w:pPr>
            <w:r w:rsidRPr="001919EA">
              <w:rPr>
                <w:rFonts w:ascii="Arial" w:hAnsi="Arial" w:cs="Arial"/>
                <w:sz w:val="20"/>
                <w:szCs w:val="20"/>
              </w:rPr>
              <w:t>11</w:t>
            </w:r>
          </w:p>
        </w:tc>
        <w:tc>
          <w:tcPr>
            <w:tcW w:w="460" w:type="dxa"/>
            <w:tcBorders>
              <w:top w:val="single" w:sz="4" w:space="0" w:color="auto"/>
              <w:left w:val="nil"/>
              <w:bottom w:val="single" w:sz="8" w:space="0" w:color="auto"/>
              <w:right w:val="single" w:sz="4" w:space="0" w:color="auto"/>
            </w:tcBorders>
            <w:shd w:val="clear" w:color="000000" w:fill="B1A0C7"/>
            <w:noWrap/>
            <w:vAlign w:val="bottom"/>
            <w:hideMark/>
          </w:tcPr>
          <w:p w14:paraId="2B290554" w14:textId="77777777" w:rsidR="00360C9F" w:rsidRPr="001919EA" w:rsidRDefault="00360C9F" w:rsidP="0085539D">
            <w:pPr>
              <w:spacing w:line="240" w:lineRule="auto"/>
              <w:jc w:val="right"/>
              <w:rPr>
                <w:rFonts w:ascii="Arial" w:hAnsi="Arial" w:cs="Arial"/>
                <w:sz w:val="20"/>
                <w:szCs w:val="20"/>
              </w:rPr>
            </w:pPr>
            <w:r w:rsidRPr="001919EA">
              <w:rPr>
                <w:rFonts w:ascii="Arial" w:hAnsi="Arial" w:cs="Arial"/>
                <w:sz w:val="20"/>
                <w:szCs w:val="20"/>
              </w:rPr>
              <w:t>12</w:t>
            </w:r>
          </w:p>
        </w:tc>
        <w:tc>
          <w:tcPr>
            <w:tcW w:w="460" w:type="dxa"/>
            <w:tcBorders>
              <w:top w:val="single" w:sz="4" w:space="0" w:color="auto"/>
              <w:left w:val="nil"/>
              <w:bottom w:val="single" w:sz="8" w:space="0" w:color="auto"/>
              <w:right w:val="single" w:sz="8" w:space="0" w:color="auto"/>
            </w:tcBorders>
            <w:shd w:val="clear" w:color="000000" w:fill="B1A0C7"/>
            <w:noWrap/>
            <w:vAlign w:val="bottom"/>
            <w:hideMark/>
          </w:tcPr>
          <w:p w14:paraId="5FBE2F4C" w14:textId="77777777" w:rsidR="00360C9F" w:rsidRPr="001919EA" w:rsidRDefault="00360C9F" w:rsidP="0085539D">
            <w:pPr>
              <w:spacing w:line="240" w:lineRule="auto"/>
              <w:jc w:val="right"/>
              <w:rPr>
                <w:rFonts w:ascii="Arial" w:hAnsi="Arial" w:cs="Arial"/>
                <w:sz w:val="20"/>
                <w:szCs w:val="20"/>
              </w:rPr>
            </w:pPr>
            <w:r w:rsidRPr="001919EA">
              <w:rPr>
                <w:rFonts w:ascii="Arial" w:hAnsi="Arial" w:cs="Arial"/>
                <w:sz w:val="20"/>
                <w:szCs w:val="20"/>
              </w:rPr>
              <w:t>13</w:t>
            </w:r>
          </w:p>
        </w:tc>
        <w:tc>
          <w:tcPr>
            <w:tcW w:w="460" w:type="dxa"/>
            <w:tcBorders>
              <w:top w:val="single" w:sz="4" w:space="0" w:color="auto"/>
              <w:left w:val="nil"/>
              <w:bottom w:val="single" w:sz="8" w:space="0" w:color="auto"/>
              <w:right w:val="single" w:sz="4" w:space="0" w:color="auto"/>
            </w:tcBorders>
            <w:shd w:val="clear" w:color="000000" w:fill="92D050"/>
            <w:noWrap/>
            <w:vAlign w:val="bottom"/>
            <w:hideMark/>
          </w:tcPr>
          <w:p w14:paraId="1E2950E6" w14:textId="77777777" w:rsidR="00360C9F" w:rsidRPr="001919EA" w:rsidRDefault="00360C9F" w:rsidP="0085539D">
            <w:pPr>
              <w:spacing w:line="240" w:lineRule="auto"/>
              <w:jc w:val="right"/>
              <w:rPr>
                <w:rFonts w:ascii="Arial" w:hAnsi="Arial" w:cs="Arial"/>
                <w:sz w:val="20"/>
                <w:szCs w:val="20"/>
              </w:rPr>
            </w:pPr>
            <w:r w:rsidRPr="001919EA">
              <w:rPr>
                <w:rFonts w:ascii="Arial" w:hAnsi="Arial" w:cs="Arial"/>
                <w:sz w:val="20"/>
                <w:szCs w:val="20"/>
              </w:rPr>
              <w:t>14</w:t>
            </w:r>
          </w:p>
        </w:tc>
        <w:tc>
          <w:tcPr>
            <w:tcW w:w="460" w:type="dxa"/>
            <w:tcBorders>
              <w:top w:val="single" w:sz="4" w:space="0" w:color="auto"/>
              <w:left w:val="nil"/>
              <w:bottom w:val="single" w:sz="8" w:space="0" w:color="auto"/>
              <w:right w:val="single" w:sz="4" w:space="0" w:color="auto"/>
            </w:tcBorders>
            <w:shd w:val="clear" w:color="000000" w:fill="92D050"/>
            <w:noWrap/>
            <w:vAlign w:val="bottom"/>
            <w:hideMark/>
          </w:tcPr>
          <w:p w14:paraId="32115CAD" w14:textId="77777777" w:rsidR="00360C9F" w:rsidRPr="001919EA" w:rsidRDefault="00360C9F" w:rsidP="0085539D">
            <w:pPr>
              <w:spacing w:line="240" w:lineRule="auto"/>
              <w:jc w:val="right"/>
              <w:rPr>
                <w:rFonts w:ascii="Arial" w:hAnsi="Arial" w:cs="Arial"/>
                <w:sz w:val="20"/>
                <w:szCs w:val="20"/>
              </w:rPr>
            </w:pPr>
            <w:r w:rsidRPr="001919EA">
              <w:rPr>
                <w:rFonts w:ascii="Arial" w:hAnsi="Arial" w:cs="Arial"/>
                <w:sz w:val="20"/>
                <w:szCs w:val="20"/>
              </w:rPr>
              <w:t>15</w:t>
            </w:r>
          </w:p>
        </w:tc>
        <w:tc>
          <w:tcPr>
            <w:tcW w:w="460" w:type="dxa"/>
            <w:tcBorders>
              <w:top w:val="single" w:sz="4" w:space="0" w:color="auto"/>
              <w:left w:val="nil"/>
              <w:bottom w:val="single" w:sz="8" w:space="0" w:color="auto"/>
              <w:right w:val="single" w:sz="4" w:space="0" w:color="auto"/>
            </w:tcBorders>
            <w:shd w:val="clear" w:color="000000" w:fill="92D050"/>
            <w:noWrap/>
            <w:vAlign w:val="bottom"/>
            <w:hideMark/>
          </w:tcPr>
          <w:p w14:paraId="5F1D1982" w14:textId="77777777" w:rsidR="00360C9F" w:rsidRPr="001919EA" w:rsidRDefault="00360C9F" w:rsidP="0085539D">
            <w:pPr>
              <w:spacing w:line="240" w:lineRule="auto"/>
              <w:jc w:val="right"/>
              <w:rPr>
                <w:rFonts w:ascii="Arial" w:hAnsi="Arial" w:cs="Arial"/>
                <w:sz w:val="20"/>
                <w:szCs w:val="20"/>
              </w:rPr>
            </w:pPr>
            <w:r w:rsidRPr="001919EA">
              <w:rPr>
                <w:rFonts w:ascii="Arial" w:hAnsi="Arial" w:cs="Arial"/>
                <w:sz w:val="20"/>
                <w:szCs w:val="20"/>
              </w:rPr>
              <w:t>16</w:t>
            </w:r>
          </w:p>
        </w:tc>
        <w:tc>
          <w:tcPr>
            <w:tcW w:w="460" w:type="dxa"/>
            <w:tcBorders>
              <w:top w:val="single" w:sz="4" w:space="0" w:color="auto"/>
              <w:left w:val="nil"/>
              <w:bottom w:val="single" w:sz="8" w:space="0" w:color="auto"/>
              <w:right w:val="single" w:sz="8" w:space="0" w:color="auto"/>
            </w:tcBorders>
            <w:shd w:val="clear" w:color="000000" w:fill="92D050"/>
            <w:noWrap/>
            <w:vAlign w:val="bottom"/>
            <w:hideMark/>
          </w:tcPr>
          <w:p w14:paraId="7A68870F" w14:textId="77777777" w:rsidR="00360C9F" w:rsidRPr="001919EA" w:rsidRDefault="00360C9F" w:rsidP="0085539D">
            <w:pPr>
              <w:spacing w:line="240" w:lineRule="auto"/>
              <w:jc w:val="right"/>
              <w:rPr>
                <w:rFonts w:ascii="Arial" w:hAnsi="Arial" w:cs="Arial"/>
                <w:sz w:val="20"/>
                <w:szCs w:val="20"/>
              </w:rPr>
            </w:pPr>
            <w:r w:rsidRPr="001919EA">
              <w:rPr>
                <w:rFonts w:ascii="Arial" w:hAnsi="Arial" w:cs="Arial"/>
                <w:sz w:val="20"/>
                <w:szCs w:val="20"/>
              </w:rPr>
              <w:t>17</w:t>
            </w:r>
          </w:p>
        </w:tc>
        <w:tc>
          <w:tcPr>
            <w:tcW w:w="460" w:type="dxa"/>
            <w:tcBorders>
              <w:top w:val="single" w:sz="4" w:space="0" w:color="auto"/>
              <w:left w:val="nil"/>
              <w:bottom w:val="single" w:sz="8" w:space="0" w:color="auto"/>
              <w:right w:val="single" w:sz="4" w:space="0" w:color="auto"/>
            </w:tcBorders>
            <w:shd w:val="clear" w:color="000000" w:fill="B7DEE8"/>
            <w:noWrap/>
            <w:vAlign w:val="bottom"/>
            <w:hideMark/>
          </w:tcPr>
          <w:p w14:paraId="17124DCD" w14:textId="77777777" w:rsidR="00360C9F" w:rsidRPr="001919EA" w:rsidRDefault="00360C9F" w:rsidP="0085539D">
            <w:pPr>
              <w:spacing w:line="240" w:lineRule="auto"/>
              <w:jc w:val="right"/>
              <w:rPr>
                <w:rFonts w:ascii="Arial" w:hAnsi="Arial" w:cs="Arial"/>
                <w:sz w:val="20"/>
                <w:szCs w:val="20"/>
              </w:rPr>
            </w:pPr>
            <w:r w:rsidRPr="001919EA">
              <w:rPr>
                <w:rFonts w:ascii="Arial" w:hAnsi="Arial" w:cs="Arial"/>
                <w:sz w:val="20"/>
                <w:szCs w:val="20"/>
              </w:rPr>
              <w:t>18</w:t>
            </w:r>
          </w:p>
        </w:tc>
        <w:tc>
          <w:tcPr>
            <w:tcW w:w="460" w:type="dxa"/>
            <w:tcBorders>
              <w:top w:val="single" w:sz="4" w:space="0" w:color="auto"/>
              <w:left w:val="nil"/>
              <w:bottom w:val="single" w:sz="8" w:space="0" w:color="auto"/>
              <w:right w:val="single" w:sz="4" w:space="0" w:color="auto"/>
            </w:tcBorders>
            <w:shd w:val="clear" w:color="000000" w:fill="B7DEE8"/>
            <w:noWrap/>
            <w:vAlign w:val="bottom"/>
            <w:hideMark/>
          </w:tcPr>
          <w:p w14:paraId="343F74FC" w14:textId="77777777" w:rsidR="00360C9F" w:rsidRPr="001919EA" w:rsidRDefault="00360C9F" w:rsidP="0085539D">
            <w:pPr>
              <w:spacing w:line="240" w:lineRule="auto"/>
              <w:jc w:val="right"/>
              <w:rPr>
                <w:rFonts w:ascii="Arial" w:hAnsi="Arial" w:cs="Arial"/>
                <w:sz w:val="20"/>
                <w:szCs w:val="20"/>
              </w:rPr>
            </w:pPr>
            <w:r w:rsidRPr="001919EA">
              <w:rPr>
                <w:rFonts w:ascii="Arial" w:hAnsi="Arial" w:cs="Arial"/>
                <w:sz w:val="20"/>
                <w:szCs w:val="20"/>
              </w:rPr>
              <w:t>19</w:t>
            </w:r>
          </w:p>
        </w:tc>
        <w:tc>
          <w:tcPr>
            <w:tcW w:w="460" w:type="dxa"/>
            <w:tcBorders>
              <w:top w:val="single" w:sz="4" w:space="0" w:color="auto"/>
              <w:left w:val="nil"/>
              <w:bottom w:val="single" w:sz="8" w:space="0" w:color="auto"/>
              <w:right w:val="single" w:sz="4" w:space="0" w:color="auto"/>
            </w:tcBorders>
            <w:shd w:val="clear" w:color="000000" w:fill="B7DEE8"/>
            <w:noWrap/>
            <w:vAlign w:val="bottom"/>
            <w:hideMark/>
          </w:tcPr>
          <w:p w14:paraId="0177B447" w14:textId="77777777" w:rsidR="00360C9F" w:rsidRPr="001919EA" w:rsidRDefault="00360C9F" w:rsidP="0085539D">
            <w:pPr>
              <w:spacing w:line="240" w:lineRule="auto"/>
              <w:jc w:val="right"/>
              <w:rPr>
                <w:rFonts w:ascii="Arial" w:hAnsi="Arial" w:cs="Arial"/>
                <w:sz w:val="20"/>
                <w:szCs w:val="20"/>
              </w:rPr>
            </w:pPr>
            <w:r w:rsidRPr="001919EA">
              <w:rPr>
                <w:rFonts w:ascii="Arial" w:hAnsi="Arial" w:cs="Arial"/>
                <w:sz w:val="20"/>
                <w:szCs w:val="20"/>
              </w:rPr>
              <w:t>20</w:t>
            </w:r>
          </w:p>
        </w:tc>
        <w:tc>
          <w:tcPr>
            <w:tcW w:w="440" w:type="dxa"/>
            <w:tcBorders>
              <w:top w:val="single" w:sz="4" w:space="0" w:color="auto"/>
              <w:left w:val="nil"/>
              <w:bottom w:val="single" w:sz="8" w:space="0" w:color="auto"/>
              <w:right w:val="single" w:sz="8" w:space="0" w:color="auto"/>
            </w:tcBorders>
            <w:shd w:val="clear" w:color="000000" w:fill="B7DEE8"/>
            <w:noWrap/>
            <w:vAlign w:val="bottom"/>
            <w:hideMark/>
          </w:tcPr>
          <w:p w14:paraId="684BBB44" w14:textId="77777777" w:rsidR="00360C9F" w:rsidRPr="001919EA" w:rsidRDefault="00360C9F" w:rsidP="0085539D">
            <w:pPr>
              <w:spacing w:line="240" w:lineRule="auto"/>
              <w:jc w:val="right"/>
              <w:rPr>
                <w:rFonts w:ascii="Arial" w:hAnsi="Arial" w:cs="Arial"/>
                <w:sz w:val="20"/>
                <w:szCs w:val="20"/>
              </w:rPr>
            </w:pPr>
            <w:r w:rsidRPr="001919EA">
              <w:rPr>
                <w:rFonts w:ascii="Arial" w:hAnsi="Arial" w:cs="Arial"/>
                <w:sz w:val="20"/>
                <w:szCs w:val="20"/>
              </w:rPr>
              <w:t>21</w:t>
            </w:r>
          </w:p>
        </w:tc>
      </w:tr>
    </w:tbl>
    <w:p w14:paraId="34079284" w14:textId="77777777" w:rsidR="00360C9F" w:rsidRDefault="00360C9F" w:rsidP="00360C9F"/>
    <w:p w14:paraId="218C982A" w14:textId="77777777" w:rsidR="00360C9F" w:rsidRDefault="00360C9F" w:rsidP="00360C9F">
      <w:r>
        <w:t>Höstterminen</w:t>
      </w:r>
    </w:p>
    <w:p w14:paraId="29B63E4E" w14:textId="77777777" w:rsidR="00360C9F" w:rsidRDefault="00360C9F" w:rsidP="00360C9F">
      <w:r w:rsidRPr="002C610E">
        <w:rPr>
          <w:noProof/>
        </w:rPr>
        <w:drawing>
          <wp:inline distT="0" distB="0" distL="0" distR="0" wp14:anchorId="75819A27" wp14:editId="0803CA13">
            <wp:extent cx="4648200" cy="449580"/>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8200" cy="449580"/>
                    </a:xfrm>
                    <a:prstGeom prst="rect">
                      <a:avLst/>
                    </a:prstGeom>
                    <a:noFill/>
                    <a:ln>
                      <a:noFill/>
                    </a:ln>
                  </pic:spPr>
                </pic:pic>
              </a:graphicData>
            </a:graphic>
          </wp:inline>
        </w:drawing>
      </w:r>
    </w:p>
    <w:p w14:paraId="4F80EEE8" w14:textId="77777777" w:rsidR="00360C9F" w:rsidRDefault="00360C9F" w:rsidP="00360C9F"/>
    <w:p w14:paraId="205A1971" w14:textId="77777777" w:rsidR="00360C9F" w:rsidRPr="00D32A3E" w:rsidRDefault="00360C9F" w:rsidP="00360C9F">
      <w:pPr>
        <w:rPr>
          <w:rFonts w:eastAsia="MS Mincho"/>
        </w:rPr>
      </w:pPr>
      <w:r w:rsidRPr="00D32A3E">
        <w:rPr>
          <w:rFonts w:eastAsia="MS Mincho"/>
        </w:rPr>
        <w:t xml:space="preserve">För att bedömning av den studerande ska kunna göras måste APL- perioden omfatta minst tre veckor. </w:t>
      </w:r>
    </w:p>
    <w:p w14:paraId="3B8ED1C1" w14:textId="77777777" w:rsidR="00360C9F" w:rsidRDefault="00360C9F" w:rsidP="00360C9F"/>
    <w:p w14:paraId="71119A73" w14:textId="77777777" w:rsidR="00360C9F" w:rsidRDefault="00360C9F" w:rsidP="00360C9F">
      <w:pPr>
        <w:keepNext/>
        <w:spacing w:before="240" w:line="320" w:lineRule="atLeast"/>
        <w:outlineLvl w:val="1"/>
        <w:rPr>
          <w:rFonts w:eastAsia="MS Mincho" w:cs="Arial"/>
          <w:bCs/>
          <w:iCs/>
          <w:sz w:val="32"/>
          <w:szCs w:val="28"/>
        </w:rPr>
      </w:pPr>
      <w:r w:rsidRPr="001456E4">
        <w:rPr>
          <w:rFonts w:eastAsia="MS Mincho" w:cs="Arial"/>
          <w:bCs/>
          <w:iCs/>
          <w:sz w:val="32"/>
          <w:szCs w:val="28"/>
        </w:rPr>
        <w:t>Förfrågningsrutiner</w:t>
      </w:r>
    </w:p>
    <w:p w14:paraId="4B5F169A" w14:textId="77777777" w:rsidR="00360C9F" w:rsidRPr="001456E4" w:rsidRDefault="00360C9F" w:rsidP="00360C9F">
      <w:pPr>
        <w:keepNext/>
        <w:spacing w:before="240" w:line="320" w:lineRule="atLeast"/>
        <w:contextualSpacing/>
        <w:outlineLvl w:val="1"/>
        <w:rPr>
          <w:rFonts w:eastAsia="MS Mincho" w:cs="Arial"/>
          <w:bCs/>
          <w:iCs/>
          <w:sz w:val="32"/>
          <w:szCs w:val="28"/>
        </w:rPr>
      </w:pPr>
    </w:p>
    <w:p w14:paraId="19F2F048" w14:textId="543F128D" w:rsidR="00360C9F" w:rsidRDefault="00360C9F" w:rsidP="00360C9F">
      <w:pPr>
        <w:rPr>
          <w:rFonts w:ascii="Calibri" w:hAnsi="Calibri"/>
          <w:szCs w:val="22"/>
        </w:rPr>
      </w:pPr>
      <w:r>
        <w:rPr>
          <w:rFonts w:eastAsia="MS Mincho"/>
        </w:rPr>
        <w:t>Region Stockholm</w:t>
      </w:r>
      <w:r w:rsidRPr="001456E4">
        <w:rPr>
          <w:rFonts w:eastAsia="MS Mincho"/>
        </w:rPr>
        <w:t xml:space="preserve"> har ingen central antagning för APL</w:t>
      </w:r>
      <w:r>
        <w:rPr>
          <w:rFonts w:eastAsia="MS Mincho"/>
        </w:rPr>
        <w:t>-</w:t>
      </w:r>
      <w:r w:rsidRPr="001456E4">
        <w:rPr>
          <w:rFonts w:eastAsia="MS Mincho"/>
        </w:rPr>
        <w:t>platser. Skolorna gör förfrågan om platser direkt till respektive verksamhets APL</w:t>
      </w:r>
      <w:r>
        <w:rPr>
          <w:rFonts w:eastAsia="MS Mincho"/>
        </w:rPr>
        <w:t>-</w:t>
      </w:r>
      <w:r w:rsidRPr="001456E4">
        <w:rPr>
          <w:rFonts w:eastAsia="MS Mincho"/>
        </w:rPr>
        <w:t xml:space="preserve">samordnare (verksamheternas mottagare av platsförfrågan). </w:t>
      </w:r>
      <w:r>
        <w:rPr>
          <w:rFonts w:eastAsia="MS Mincho"/>
        </w:rPr>
        <w:t xml:space="preserve">Information finns på Region Stockholms webbplats  </w:t>
      </w:r>
      <w:hyperlink r:id="rId10" w:history="1">
        <w:r w:rsidR="00241A14">
          <w:rPr>
            <w:rStyle w:val="Hyperlnk"/>
          </w:rPr>
          <w:t>www.regionstockholm.se/apl</w:t>
        </w:r>
      </w:hyperlink>
    </w:p>
    <w:p w14:paraId="17F8C7EF" w14:textId="77777777" w:rsidR="00360C9F" w:rsidRPr="001C51F4" w:rsidRDefault="00360C9F" w:rsidP="00360C9F">
      <w:pPr>
        <w:ind w:left="360"/>
        <w:contextualSpacing/>
        <w:rPr>
          <w:rFonts w:eastAsia="MS Mincho"/>
          <w:strike/>
          <w:color w:val="FF0000"/>
        </w:rPr>
      </w:pPr>
    </w:p>
    <w:p w14:paraId="3E1AE421" w14:textId="77777777" w:rsidR="00360C9F" w:rsidRPr="001456E4" w:rsidRDefault="00360C9F" w:rsidP="00360C9F">
      <w:pPr>
        <w:rPr>
          <w:rFonts w:eastAsia="MS Mincho"/>
        </w:rPr>
      </w:pPr>
    </w:p>
    <w:p w14:paraId="28AEAAB2" w14:textId="77777777" w:rsidR="00360C9F" w:rsidRPr="001456E4" w:rsidRDefault="00360C9F" w:rsidP="00360C9F">
      <w:pPr>
        <w:numPr>
          <w:ilvl w:val="0"/>
          <w:numId w:val="2"/>
        </w:numPr>
        <w:contextualSpacing/>
        <w:rPr>
          <w:color w:val="FF0000"/>
        </w:rPr>
      </w:pPr>
      <w:r w:rsidRPr="001456E4">
        <w:t xml:space="preserve">För att </w:t>
      </w:r>
      <w:r>
        <w:t xml:space="preserve">möjliggöra platser till ett större antal vård- och omsorgsstuderande erbjuds endast en </w:t>
      </w:r>
      <w:r w:rsidRPr="001456E4">
        <w:t>APL</w:t>
      </w:r>
      <w:r>
        <w:t>-p</w:t>
      </w:r>
      <w:r w:rsidRPr="001456E4">
        <w:t>eriod per studerande</w:t>
      </w:r>
      <w:r>
        <w:t>.</w:t>
      </w:r>
      <w:r w:rsidRPr="001456E4">
        <w:t xml:space="preserve"> </w:t>
      </w:r>
    </w:p>
    <w:p w14:paraId="4FD726EF" w14:textId="77777777" w:rsidR="00360C9F" w:rsidRPr="001456E4" w:rsidRDefault="00360C9F" w:rsidP="00360C9F">
      <w:pPr>
        <w:ind w:left="360"/>
        <w:rPr>
          <w:rFonts w:eastAsia="MS Mincho"/>
        </w:rPr>
      </w:pPr>
    </w:p>
    <w:p w14:paraId="0BFD887A" w14:textId="53A7C057" w:rsidR="00360C9F" w:rsidRDefault="00360C9F" w:rsidP="00360C9F">
      <w:pPr>
        <w:pStyle w:val="Liststycke"/>
        <w:numPr>
          <w:ilvl w:val="0"/>
          <w:numId w:val="4"/>
        </w:numPr>
        <w:rPr>
          <w:rFonts w:eastAsia="MS Mincho"/>
        </w:rPr>
      </w:pPr>
      <w:r>
        <w:rPr>
          <w:rFonts w:eastAsia="MS Mincho"/>
        </w:rPr>
        <w:t xml:space="preserve">Skolorna skall inte göra förfrågningar om fler platser än de har behov av inom varje verksamhet. </w:t>
      </w:r>
    </w:p>
    <w:p w14:paraId="658AB487" w14:textId="77777777" w:rsidR="003C44E2" w:rsidRDefault="003C44E2" w:rsidP="003C44E2">
      <w:pPr>
        <w:pStyle w:val="Liststycke"/>
        <w:rPr>
          <w:rFonts w:eastAsia="MS Mincho"/>
        </w:rPr>
      </w:pPr>
    </w:p>
    <w:p w14:paraId="18696825" w14:textId="77777777" w:rsidR="00360C9F" w:rsidRPr="004C5039" w:rsidRDefault="00360C9F" w:rsidP="00360C9F">
      <w:pPr>
        <w:numPr>
          <w:ilvl w:val="0"/>
          <w:numId w:val="4"/>
        </w:numPr>
        <w:contextualSpacing/>
        <w:rPr>
          <w:rFonts w:eastAsia="MS Mincho"/>
        </w:rPr>
      </w:pPr>
      <w:r w:rsidRPr="004C5039">
        <w:rPr>
          <w:rFonts w:eastAsia="MS Mincho"/>
          <w:u w:val="single"/>
        </w:rPr>
        <w:t>För vårterminen</w:t>
      </w:r>
      <w:r w:rsidRPr="004C5039">
        <w:rPr>
          <w:rFonts w:eastAsia="MS Mincho"/>
        </w:rPr>
        <w:t xml:space="preserve"> ska </w:t>
      </w:r>
      <w:r>
        <w:rPr>
          <w:rFonts w:eastAsia="MS Mincho"/>
        </w:rPr>
        <w:t xml:space="preserve">förfrågan ha inkommit till </w:t>
      </w:r>
      <w:r w:rsidRPr="004C5039">
        <w:rPr>
          <w:rFonts w:eastAsia="MS Mincho"/>
        </w:rPr>
        <w:t>verksamhete</w:t>
      </w:r>
      <w:r>
        <w:rPr>
          <w:rFonts w:eastAsia="MS Mincho"/>
        </w:rPr>
        <w:t xml:space="preserve">ns APL- </w:t>
      </w:r>
      <w:r w:rsidRPr="004C5039">
        <w:rPr>
          <w:rFonts w:eastAsia="MS Mincho"/>
        </w:rPr>
        <w:t>samordnare senast den 30 september. Besked om antal platser och placering ska vara skolan tillhanda senast den 15 november.</w:t>
      </w:r>
    </w:p>
    <w:p w14:paraId="1ECD1348" w14:textId="77777777" w:rsidR="00360C9F" w:rsidRPr="001456E4" w:rsidRDefault="00360C9F" w:rsidP="00360C9F">
      <w:pPr>
        <w:contextualSpacing/>
        <w:rPr>
          <w:rFonts w:eastAsia="MS Mincho"/>
        </w:rPr>
      </w:pPr>
    </w:p>
    <w:p w14:paraId="3C6981B4" w14:textId="77777777" w:rsidR="00360C9F" w:rsidRPr="001456E4" w:rsidRDefault="00360C9F" w:rsidP="00360C9F">
      <w:pPr>
        <w:numPr>
          <w:ilvl w:val="0"/>
          <w:numId w:val="4"/>
        </w:numPr>
        <w:contextualSpacing/>
        <w:rPr>
          <w:rFonts w:eastAsia="MS Mincho"/>
        </w:rPr>
      </w:pPr>
      <w:r w:rsidRPr="003F7E34">
        <w:rPr>
          <w:rFonts w:eastAsia="MS Mincho"/>
          <w:u w:val="single"/>
        </w:rPr>
        <w:lastRenderedPageBreak/>
        <w:t>För höstterminen</w:t>
      </w:r>
      <w:r w:rsidRPr="001456E4">
        <w:rPr>
          <w:rFonts w:eastAsia="MS Mincho"/>
        </w:rPr>
        <w:t xml:space="preserve"> ska </w:t>
      </w:r>
      <w:r>
        <w:rPr>
          <w:rFonts w:eastAsia="MS Mincho"/>
        </w:rPr>
        <w:t xml:space="preserve">förfrågan ha inkommit till </w:t>
      </w:r>
      <w:r w:rsidRPr="001456E4">
        <w:rPr>
          <w:rFonts w:eastAsia="MS Mincho"/>
        </w:rPr>
        <w:t>verksamhete</w:t>
      </w:r>
      <w:r>
        <w:rPr>
          <w:rFonts w:eastAsia="MS Mincho"/>
        </w:rPr>
        <w:t>ns</w:t>
      </w:r>
      <w:r w:rsidRPr="001456E4">
        <w:rPr>
          <w:rFonts w:eastAsia="MS Mincho"/>
        </w:rPr>
        <w:t xml:space="preserve"> </w:t>
      </w:r>
      <w:r>
        <w:rPr>
          <w:rFonts w:eastAsia="MS Mincho"/>
        </w:rPr>
        <w:t>APL-</w:t>
      </w:r>
      <w:r w:rsidRPr="001456E4">
        <w:rPr>
          <w:rFonts w:eastAsia="MS Mincho"/>
        </w:rPr>
        <w:t>samordnare senast den 31 mars. Besked om antal platser och placering ska vara skolan tillhanda senast den 15 maj.</w:t>
      </w:r>
    </w:p>
    <w:p w14:paraId="36A1BA59" w14:textId="77777777" w:rsidR="00360C9F" w:rsidRDefault="00360C9F" w:rsidP="00360C9F">
      <w:pPr>
        <w:ind w:left="360"/>
        <w:contextualSpacing/>
        <w:rPr>
          <w:rFonts w:eastAsia="MS Mincho"/>
        </w:rPr>
      </w:pPr>
    </w:p>
    <w:p w14:paraId="640A5170" w14:textId="53849BA7" w:rsidR="00360C9F" w:rsidRPr="00241A14" w:rsidRDefault="00360C9F" w:rsidP="00360C9F">
      <w:pPr>
        <w:pStyle w:val="Liststycke"/>
        <w:numPr>
          <w:ilvl w:val="0"/>
          <w:numId w:val="4"/>
        </w:numPr>
        <w:rPr>
          <w:rFonts w:eastAsia="MS Mincho"/>
        </w:rPr>
      </w:pPr>
      <w:r w:rsidRPr="00241A14">
        <w:rPr>
          <w:rFonts w:eastAsia="MS Mincho"/>
        </w:rPr>
        <w:t xml:space="preserve">Blanketten ”förfrågan om APL- platser” ska användas för platsförfrågan. Lovveckor ska preciseras. Blankett finns på Region Stockholms webbplats </w:t>
      </w:r>
      <w:hyperlink r:id="rId11" w:history="1">
        <w:r w:rsidR="00241A14">
          <w:rPr>
            <w:rStyle w:val="Hyperlnk"/>
          </w:rPr>
          <w:t>www.regionstockholm.se/apl</w:t>
        </w:r>
      </w:hyperlink>
      <w:r w:rsidR="00241A14">
        <w:t xml:space="preserve"> </w:t>
      </w:r>
    </w:p>
    <w:p w14:paraId="2154276B" w14:textId="77777777" w:rsidR="00241A14" w:rsidRPr="00241A14" w:rsidRDefault="00241A14" w:rsidP="00241A14">
      <w:pPr>
        <w:rPr>
          <w:rFonts w:eastAsia="MS Mincho"/>
        </w:rPr>
      </w:pPr>
    </w:p>
    <w:p w14:paraId="7AE3101F" w14:textId="77777777" w:rsidR="00360C9F" w:rsidRDefault="00360C9F" w:rsidP="00360C9F">
      <w:pPr>
        <w:pStyle w:val="Liststycke"/>
        <w:numPr>
          <w:ilvl w:val="0"/>
          <w:numId w:val="4"/>
        </w:numPr>
        <w:rPr>
          <w:rFonts w:eastAsia="MS Mincho"/>
        </w:rPr>
      </w:pPr>
      <w:r>
        <w:rPr>
          <w:rFonts w:eastAsia="MS Mincho"/>
        </w:rPr>
        <w:t>Platsförfrågan handläggs enbart av skolornas utsedda APL-samordnare.</w:t>
      </w:r>
    </w:p>
    <w:p w14:paraId="73EE7EAD" w14:textId="77777777" w:rsidR="00360C9F" w:rsidRPr="00360C9F" w:rsidRDefault="00360C9F" w:rsidP="00360C9F">
      <w:pPr>
        <w:pStyle w:val="Liststycke"/>
        <w:rPr>
          <w:rFonts w:eastAsia="MS Mincho"/>
        </w:rPr>
      </w:pPr>
    </w:p>
    <w:p w14:paraId="1F7EB826" w14:textId="77777777" w:rsidR="00360C9F" w:rsidRDefault="00360C9F" w:rsidP="00360C9F">
      <w:pPr>
        <w:pStyle w:val="Liststycke"/>
        <w:numPr>
          <w:ilvl w:val="0"/>
          <w:numId w:val="4"/>
        </w:numPr>
        <w:rPr>
          <w:rFonts w:eastAsia="MS Mincho"/>
        </w:rPr>
      </w:pPr>
      <w:r>
        <w:rPr>
          <w:rFonts w:eastAsia="MS Mincho"/>
        </w:rPr>
        <w:t>Inskickad platsförfrågan ska bekräftas av mottagande verksamhets APL-samordnare.</w:t>
      </w:r>
    </w:p>
    <w:p w14:paraId="5B6B42AD" w14:textId="77777777" w:rsidR="00360C9F" w:rsidRPr="00360C9F" w:rsidRDefault="00360C9F" w:rsidP="00360C9F">
      <w:pPr>
        <w:pStyle w:val="Liststycke"/>
        <w:rPr>
          <w:rFonts w:eastAsia="MS Mincho"/>
        </w:rPr>
      </w:pPr>
    </w:p>
    <w:p w14:paraId="3CE9BB84" w14:textId="77777777" w:rsidR="00360C9F" w:rsidRDefault="00360C9F" w:rsidP="00360C9F">
      <w:pPr>
        <w:pStyle w:val="Liststycke"/>
        <w:numPr>
          <w:ilvl w:val="0"/>
          <w:numId w:val="4"/>
        </w:numPr>
        <w:rPr>
          <w:rFonts w:eastAsia="MS Mincho"/>
        </w:rPr>
      </w:pPr>
      <w:r>
        <w:rPr>
          <w:rFonts w:eastAsia="MS Mincho"/>
        </w:rPr>
        <w:t>Studerande eller deras anhöriga får inte själva kontakta verksamheterna för att söka platser.</w:t>
      </w:r>
    </w:p>
    <w:p w14:paraId="6DCB9A88" w14:textId="77777777" w:rsidR="00360C9F" w:rsidRPr="00360C9F" w:rsidRDefault="00360C9F" w:rsidP="00360C9F">
      <w:pPr>
        <w:pStyle w:val="Liststycke"/>
        <w:rPr>
          <w:rFonts w:eastAsia="MS Mincho"/>
        </w:rPr>
      </w:pPr>
    </w:p>
    <w:p w14:paraId="36F43C9B" w14:textId="77777777" w:rsidR="00360C9F" w:rsidRPr="008D5007" w:rsidRDefault="00360C9F" w:rsidP="00360C9F">
      <w:pPr>
        <w:keepNext/>
        <w:spacing w:before="240" w:line="320" w:lineRule="atLeast"/>
        <w:outlineLvl w:val="1"/>
        <w:rPr>
          <w:rFonts w:cs="Arial"/>
          <w:bCs/>
          <w:iCs/>
          <w:sz w:val="32"/>
          <w:szCs w:val="28"/>
        </w:rPr>
      </w:pPr>
      <w:r w:rsidRPr="008D5007">
        <w:rPr>
          <w:rFonts w:cs="Arial"/>
          <w:bCs/>
          <w:iCs/>
          <w:sz w:val="32"/>
          <w:szCs w:val="28"/>
        </w:rPr>
        <w:t>Allmänna regler</w:t>
      </w:r>
    </w:p>
    <w:p w14:paraId="52C5E10C" w14:textId="77777777" w:rsidR="00360C9F" w:rsidRPr="00453756" w:rsidRDefault="00360C9F" w:rsidP="00360C9F">
      <w:pPr>
        <w:keepNext/>
        <w:spacing w:before="240" w:line="320" w:lineRule="atLeast"/>
        <w:contextualSpacing/>
        <w:outlineLvl w:val="1"/>
        <w:rPr>
          <w:rFonts w:cs="Arial"/>
          <w:bCs/>
          <w:iCs/>
          <w:color w:val="FF0000"/>
          <w:sz w:val="32"/>
          <w:szCs w:val="28"/>
        </w:rPr>
      </w:pPr>
    </w:p>
    <w:p w14:paraId="0C5761EE" w14:textId="3C8C1315" w:rsidR="00360C9F" w:rsidRDefault="00360C9F" w:rsidP="00360C9F">
      <w:r w:rsidRPr="009A2030">
        <w:t>Den studerande ska inte göra sin APL</w:t>
      </w:r>
      <w:r>
        <w:t xml:space="preserve"> </w:t>
      </w:r>
      <w:r w:rsidRPr="009A2030">
        <w:t>på en vårdcentral</w:t>
      </w:r>
      <w:r>
        <w:t xml:space="preserve"> eller avdelning</w:t>
      </w:r>
      <w:r w:rsidRPr="009A2030">
        <w:t xml:space="preserve"> där </w:t>
      </w:r>
      <w:r>
        <w:t>den studerande ä</w:t>
      </w:r>
      <w:r w:rsidRPr="009A2030">
        <w:t>r listad</w:t>
      </w:r>
      <w:r w:rsidR="0087376B">
        <w:t xml:space="preserve">, </w:t>
      </w:r>
      <w:r w:rsidRPr="009A2030">
        <w:t>har varit</w:t>
      </w:r>
      <w:r w:rsidR="0087376B">
        <w:t>, eller är</w:t>
      </w:r>
      <w:r w:rsidRPr="009A2030">
        <w:t xml:space="preserve"> patient.</w:t>
      </w:r>
      <w:r>
        <w:t xml:space="preserve"> Den studerande skall inte heller göra sin APL på den egna arbetsplatsen.</w:t>
      </w:r>
    </w:p>
    <w:p w14:paraId="0F548F67" w14:textId="77777777" w:rsidR="00360C9F" w:rsidRDefault="00360C9F" w:rsidP="00360C9F"/>
    <w:p w14:paraId="3A0E0EC7" w14:textId="099A84FC" w:rsidR="00360C9F" w:rsidRDefault="00073D11" w:rsidP="00360C9F">
      <w:pPr>
        <w:rPr>
          <w:rFonts w:eastAsia="MS Mincho"/>
        </w:rPr>
      </w:pPr>
      <w:r>
        <w:rPr>
          <w:rFonts w:eastAsia="MS Mincho"/>
        </w:rPr>
        <w:t>Region Stockholm har som krav att s</w:t>
      </w:r>
      <w:r w:rsidR="00360C9F" w:rsidRPr="00B018A1">
        <w:rPr>
          <w:rFonts w:eastAsia="MS Mincho"/>
        </w:rPr>
        <w:t>kolan</w:t>
      </w:r>
      <w:r>
        <w:rPr>
          <w:rFonts w:eastAsia="MS Mincho"/>
        </w:rPr>
        <w:t xml:space="preserve"> ska </w:t>
      </w:r>
      <w:r w:rsidR="00360C9F" w:rsidRPr="00B018A1">
        <w:rPr>
          <w:rFonts w:eastAsia="MS Mincho"/>
        </w:rPr>
        <w:t>gör</w:t>
      </w:r>
      <w:r>
        <w:rPr>
          <w:rFonts w:eastAsia="MS Mincho"/>
        </w:rPr>
        <w:t>a</w:t>
      </w:r>
      <w:r w:rsidR="00360C9F" w:rsidRPr="00B018A1">
        <w:rPr>
          <w:rFonts w:eastAsia="MS Mincho"/>
        </w:rPr>
        <w:t xml:space="preserve"> minst ett kontaktbesök</w:t>
      </w:r>
      <w:r>
        <w:rPr>
          <w:rFonts w:eastAsia="MS Mincho"/>
        </w:rPr>
        <w:t xml:space="preserve"> </w:t>
      </w:r>
      <w:r w:rsidR="00360C9F" w:rsidRPr="00B018A1">
        <w:rPr>
          <w:rFonts w:eastAsia="MS Mincho"/>
        </w:rPr>
        <w:t>under respektive APL</w:t>
      </w:r>
      <w:r w:rsidR="00360C9F">
        <w:rPr>
          <w:rFonts w:eastAsia="MS Mincho"/>
        </w:rPr>
        <w:t>-p</w:t>
      </w:r>
      <w:r w:rsidR="00360C9F" w:rsidRPr="00B018A1">
        <w:rPr>
          <w:rFonts w:eastAsia="MS Mincho"/>
        </w:rPr>
        <w:t>eriod samt vid behov ge</w:t>
      </w:r>
      <w:r w:rsidR="0087376B">
        <w:rPr>
          <w:rFonts w:eastAsia="MS Mincho"/>
        </w:rPr>
        <w:t xml:space="preserve"> </w:t>
      </w:r>
      <w:r w:rsidR="00360C9F" w:rsidRPr="00B018A1">
        <w:rPr>
          <w:rFonts w:eastAsia="MS Mincho"/>
        </w:rPr>
        <w:t>det stöd som handledare efterfrågar.</w:t>
      </w:r>
      <w:r w:rsidR="00360C9F">
        <w:rPr>
          <w:rFonts w:eastAsia="MS Mincho"/>
        </w:rPr>
        <w:t xml:space="preserve"> </w:t>
      </w:r>
      <w:r>
        <w:rPr>
          <w:rFonts w:eastAsia="MS Mincho"/>
        </w:rPr>
        <w:t>Kontaktbesöket kan genomföras digitalt eller fysiskt.</w:t>
      </w:r>
    </w:p>
    <w:p w14:paraId="4859B026" w14:textId="77777777" w:rsidR="00360C9F" w:rsidRDefault="00360C9F" w:rsidP="00360C9F"/>
    <w:p w14:paraId="33C78310" w14:textId="77777777" w:rsidR="00360C9F" w:rsidRDefault="00360C9F" w:rsidP="00360C9F">
      <w:pPr>
        <w:rPr>
          <w:rFonts w:eastAsia="MS Mincho"/>
        </w:rPr>
      </w:pPr>
      <w:r>
        <w:rPr>
          <w:rFonts w:eastAsia="MS Mincho"/>
        </w:rPr>
        <w:t>Om</w:t>
      </w:r>
      <w:r w:rsidRPr="00B018A1">
        <w:rPr>
          <w:rFonts w:eastAsia="MS Mincho"/>
        </w:rPr>
        <w:t xml:space="preserve"> problem </w:t>
      </w:r>
      <w:r>
        <w:rPr>
          <w:rFonts w:eastAsia="MS Mincho"/>
        </w:rPr>
        <w:t xml:space="preserve">uppstår </w:t>
      </w:r>
      <w:r w:rsidRPr="00B018A1">
        <w:rPr>
          <w:rFonts w:eastAsia="MS Mincho"/>
        </w:rPr>
        <w:t>under APL</w:t>
      </w:r>
      <w:r>
        <w:rPr>
          <w:rFonts w:eastAsia="MS Mincho"/>
        </w:rPr>
        <w:t xml:space="preserve"> </w:t>
      </w:r>
      <w:r w:rsidRPr="00B018A1">
        <w:rPr>
          <w:rFonts w:eastAsia="MS Mincho"/>
        </w:rPr>
        <w:t>är det viktigt att</w:t>
      </w:r>
      <w:r>
        <w:rPr>
          <w:rFonts w:eastAsia="MS Mincho"/>
        </w:rPr>
        <w:t xml:space="preserve"> de </w:t>
      </w:r>
      <w:r w:rsidRPr="00B018A1">
        <w:rPr>
          <w:rFonts w:eastAsia="MS Mincho"/>
        </w:rPr>
        <w:t xml:space="preserve">studerande </w:t>
      </w:r>
      <w:r>
        <w:rPr>
          <w:rFonts w:eastAsia="MS Mincho"/>
        </w:rPr>
        <w:t>fått</w:t>
      </w:r>
      <w:r w:rsidRPr="00B018A1">
        <w:rPr>
          <w:rFonts w:eastAsia="MS Mincho"/>
        </w:rPr>
        <w:t xml:space="preserve"> inform</w:t>
      </w:r>
      <w:r>
        <w:rPr>
          <w:rFonts w:eastAsia="MS Mincho"/>
        </w:rPr>
        <w:t>ation</w:t>
      </w:r>
      <w:r w:rsidRPr="00B018A1">
        <w:rPr>
          <w:rFonts w:eastAsia="MS Mincho"/>
        </w:rPr>
        <w:t xml:space="preserve"> om vem de kan vända sig till i verksamheten. Skolans lärare och rektor ska genast informeras av verksamheten.  </w:t>
      </w:r>
    </w:p>
    <w:p w14:paraId="07FBCDD0" w14:textId="77777777" w:rsidR="00360C9F" w:rsidRDefault="00360C9F" w:rsidP="00360C9F"/>
    <w:p w14:paraId="62136599" w14:textId="2A0F6B32" w:rsidR="00360C9F" w:rsidRPr="003C44E2" w:rsidRDefault="00360C9F" w:rsidP="00360C9F">
      <w:r w:rsidRPr="003C44E2">
        <w:t>Verksamheten förbehåller sig rätten att avbryta pågående APL om den studerande visar på brister som medför risk för patientsäkerhet</w:t>
      </w:r>
      <w:r w:rsidR="00434922">
        <w:t>en</w:t>
      </w:r>
      <w:r w:rsidRPr="003C44E2">
        <w:t xml:space="preserve">. </w:t>
      </w:r>
    </w:p>
    <w:p w14:paraId="1D2D91E6" w14:textId="77777777" w:rsidR="00360C9F" w:rsidRDefault="00360C9F" w:rsidP="00360C9F"/>
    <w:p w14:paraId="7842ECEF" w14:textId="3EBFD8C3" w:rsidR="00360C9F" w:rsidRPr="00906003" w:rsidRDefault="00360C9F" w:rsidP="00360C9F">
      <w:r>
        <w:t>D</w:t>
      </w:r>
      <w:r w:rsidRPr="008521AE">
        <w:t>e skolor som får APL</w:t>
      </w:r>
      <w:r w:rsidR="000C0DC8">
        <w:t>-</w:t>
      </w:r>
      <w:r w:rsidRPr="008521AE">
        <w:t xml:space="preserve">platser inom </w:t>
      </w:r>
      <w:r>
        <w:t>Region Stockholms</w:t>
      </w:r>
      <w:r w:rsidRPr="008521AE">
        <w:t xml:space="preserve"> verksamheter, eller verksamheter med avtal</w:t>
      </w:r>
      <w:r w:rsidR="006B7083">
        <w:t xml:space="preserve"> med Regionen</w:t>
      </w:r>
      <w:r w:rsidRPr="008521AE">
        <w:t xml:space="preserve">, </w:t>
      </w:r>
      <w:r>
        <w:t xml:space="preserve">ska </w:t>
      </w:r>
      <w:r w:rsidRPr="008521AE">
        <w:t>bjud</w:t>
      </w:r>
      <w:r>
        <w:t xml:space="preserve">a </w:t>
      </w:r>
      <w:r w:rsidRPr="008521AE">
        <w:t xml:space="preserve">in till </w:t>
      </w:r>
      <w:r>
        <w:t>ha</w:t>
      </w:r>
      <w:r w:rsidRPr="008521AE">
        <w:t>ndledar</w:t>
      </w:r>
      <w:r w:rsidR="00C835C2">
        <w:t>utbildning</w:t>
      </w:r>
      <w:r w:rsidRPr="008521AE">
        <w:t xml:space="preserve"> för handledande undersköterskor. </w:t>
      </w:r>
      <w:r>
        <w:t>Handledar</w:t>
      </w:r>
      <w:r w:rsidR="00C835C2">
        <w:t>utbildningen</w:t>
      </w:r>
      <w:r>
        <w:t xml:space="preserve"> </w:t>
      </w:r>
      <w:r w:rsidRPr="008521AE">
        <w:t>ska vara minst en heldag per läsår.</w:t>
      </w:r>
      <w:r>
        <w:t xml:space="preserve"> </w:t>
      </w:r>
      <w:r w:rsidRPr="008521AE">
        <w:t>Skolverkets nationella handledarutbildning kan användas som</w:t>
      </w:r>
      <w:r>
        <w:t xml:space="preserve"> </w:t>
      </w:r>
      <w:r w:rsidRPr="008521AE">
        <w:t xml:space="preserve">introduktion för att ge möjlighet till mer fördjupad kunskap under </w:t>
      </w:r>
      <w:r w:rsidR="00426961">
        <w:t>utbildningen</w:t>
      </w:r>
      <w:r w:rsidRPr="008521AE">
        <w:t>.</w:t>
      </w:r>
      <w:r>
        <w:t xml:space="preserve"> </w:t>
      </w:r>
      <w:r w:rsidRPr="00906003">
        <w:t xml:space="preserve">Verksamheten </w:t>
      </w:r>
      <w:r w:rsidRPr="00906003">
        <w:lastRenderedPageBreak/>
        <w:t xml:space="preserve">ansvarar för att det finns handledare </w:t>
      </w:r>
      <w:r>
        <w:t>med</w:t>
      </w:r>
      <w:r w:rsidR="006B7083">
        <w:t xml:space="preserve"> för uppdraget adekvat</w:t>
      </w:r>
      <w:r>
        <w:t xml:space="preserve"> </w:t>
      </w:r>
      <w:r w:rsidRPr="00906003">
        <w:t>handledar</w:t>
      </w:r>
      <w:r>
        <w:t>kompetens</w:t>
      </w:r>
      <w:r w:rsidRPr="00906003">
        <w:t xml:space="preserve">. </w:t>
      </w:r>
    </w:p>
    <w:p w14:paraId="3A88787F" w14:textId="77777777" w:rsidR="00360C9F" w:rsidRDefault="00360C9F" w:rsidP="00360C9F"/>
    <w:p w14:paraId="20837ABA" w14:textId="77777777" w:rsidR="00360C9F" w:rsidRDefault="00360C9F" w:rsidP="00360C9F">
      <w:pPr>
        <w:keepNext/>
        <w:spacing w:before="240" w:line="320" w:lineRule="atLeast"/>
        <w:outlineLvl w:val="1"/>
        <w:rPr>
          <w:rFonts w:cs="Arial"/>
          <w:bCs/>
          <w:iCs/>
          <w:sz w:val="32"/>
          <w:szCs w:val="28"/>
        </w:rPr>
      </w:pPr>
      <w:r w:rsidRPr="00BA0108">
        <w:rPr>
          <w:rFonts w:cs="Arial"/>
          <w:bCs/>
          <w:iCs/>
          <w:sz w:val="32"/>
          <w:szCs w:val="28"/>
        </w:rPr>
        <w:t>Avbokningar</w:t>
      </w:r>
    </w:p>
    <w:p w14:paraId="6C95DFBF" w14:textId="77777777" w:rsidR="00C53D16" w:rsidRDefault="00C53D16" w:rsidP="00360C9F">
      <w:pPr>
        <w:keepNext/>
        <w:spacing w:before="240" w:line="320" w:lineRule="atLeast"/>
        <w:contextualSpacing/>
        <w:outlineLvl w:val="1"/>
        <w:rPr>
          <w:bCs/>
          <w:iCs/>
        </w:rPr>
      </w:pPr>
    </w:p>
    <w:p w14:paraId="6F07FC32" w14:textId="6DEE8DC3" w:rsidR="00360C9F" w:rsidRPr="00BA0108" w:rsidRDefault="00C53D16" w:rsidP="00360C9F">
      <w:pPr>
        <w:keepNext/>
        <w:spacing w:before="240" w:line="320" w:lineRule="atLeast"/>
        <w:contextualSpacing/>
        <w:outlineLvl w:val="1"/>
        <w:rPr>
          <w:rFonts w:eastAsia="MS Mincho" w:cs="Arial"/>
          <w:bCs/>
          <w:iCs/>
          <w:sz w:val="32"/>
          <w:szCs w:val="28"/>
        </w:rPr>
      </w:pPr>
      <w:r w:rsidRPr="00C568D2">
        <w:rPr>
          <w:bCs/>
          <w:iCs/>
        </w:rPr>
        <w:t>Avbokning</w:t>
      </w:r>
      <w:r w:rsidRPr="00C568D2">
        <w:t xml:space="preserve"> från skolan ska göras i samråd med verksamhetens </w:t>
      </w:r>
      <w:r w:rsidR="005E4F9C">
        <w:t>APL</w:t>
      </w:r>
      <w:r w:rsidRPr="00C568D2">
        <w:t>-samordnare och meddelas därefter av skolan till arbetsplatsen via e-post.</w:t>
      </w:r>
    </w:p>
    <w:p w14:paraId="0049C35D" w14:textId="6EF67B27" w:rsidR="00360C9F" w:rsidRDefault="00360C9F" w:rsidP="00360C9F">
      <w:pPr>
        <w:rPr>
          <w:rFonts w:eastAsia="MS Mincho"/>
        </w:rPr>
      </w:pPr>
      <w:r w:rsidRPr="00C21E82">
        <w:t xml:space="preserve">Avbokning ska meddelas senast på fredagen, </w:t>
      </w:r>
      <w:r>
        <w:t xml:space="preserve">tre </w:t>
      </w:r>
      <w:r w:rsidRPr="00C21E82">
        <w:t>hela kalenderveckor innan </w:t>
      </w:r>
      <w:r>
        <w:t>APL-</w:t>
      </w:r>
      <w:r w:rsidRPr="00C21E82">
        <w:t xml:space="preserve">periodens start (ex. </w:t>
      </w:r>
      <w:r>
        <w:t xml:space="preserve">APL </w:t>
      </w:r>
      <w:r w:rsidRPr="00C21E82">
        <w:t>som startar vecka 39 avbokas senast fredag vecka 3</w:t>
      </w:r>
      <w:r>
        <w:t>5</w:t>
      </w:r>
      <w:r w:rsidRPr="00C21E82">
        <w:t xml:space="preserve">) och bekräftas av mottagande verksamhets </w:t>
      </w:r>
      <w:r>
        <w:t>APL-</w:t>
      </w:r>
      <w:r w:rsidRPr="00C21E82">
        <w:t>samordnare.</w:t>
      </w:r>
      <w:r w:rsidR="006B7083">
        <w:rPr>
          <w:rFonts w:eastAsia="MS Mincho"/>
        </w:rPr>
        <w:t xml:space="preserve"> </w:t>
      </w:r>
      <w:r w:rsidRPr="00BA0108">
        <w:rPr>
          <w:rFonts w:eastAsia="MS Mincho"/>
        </w:rPr>
        <w:t xml:space="preserve">Sker avbokningen senare eller under redan påbörjad </w:t>
      </w:r>
      <w:r>
        <w:rPr>
          <w:rFonts w:eastAsia="MS Mincho"/>
        </w:rPr>
        <w:t>APL</w:t>
      </w:r>
      <w:r w:rsidRPr="00BA0108">
        <w:rPr>
          <w:rFonts w:eastAsia="MS Mincho"/>
        </w:rPr>
        <w:t>, har</w:t>
      </w:r>
      <w:r>
        <w:rPr>
          <w:rFonts w:eastAsia="MS Mincho"/>
        </w:rPr>
        <w:t xml:space="preserve"> </w:t>
      </w:r>
      <w:r w:rsidRPr="00BA0108">
        <w:rPr>
          <w:rFonts w:eastAsia="MS Mincho"/>
        </w:rPr>
        <w:t xml:space="preserve">verksamheten rätt att fakturera skolan </w:t>
      </w:r>
      <w:r>
        <w:rPr>
          <w:rFonts w:eastAsia="MS Mincho"/>
        </w:rPr>
        <w:t xml:space="preserve">med 700 kr per studerande och outnyttjad vecka. </w:t>
      </w:r>
      <w:r w:rsidRPr="00BA0108">
        <w:rPr>
          <w:rFonts w:eastAsia="MS Mincho"/>
        </w:rPr>
        <w:t xml:space="preserve">Med avbokning menas alla orsaker till att skolan inte </w:t>
      </w:r>
      <w:r>
        <w:rPr>
          <w:rFonts w:eastAsia="MS Mincho"/>
        </w:rPr>
        <w:t xml:space="preserve">utnyttjar </w:t>
      </w:r>
      <w:r w:rsidRPr="00BA0108">
        <w:rPr>
          <w:rFonts w:eastAsia="MS Mincho"/>
        </w:rPr>
        <w:t>en erbjuden plats.</w:t>
      </w:r>
    </w:p>
    <w:p w14:paraId="28D88068" w14:textId="77777777" w:rsidR="00360C9F" w:rsidRDefault="00360C9F" w:rsidP="00360C9F">
      <w:pPr>
        <w:rPr>
          <w:rFonts w:eastAsia="MS Mincho"/>
        </w:rPr>
      </w:pPr>
    </w:p>
    <w:p w14:paraId="14C2E369" w14:textId="62170A45" w:rsidR="00360C9F" w:rsidRPr="00BA0108" w:rsidRDefault="00360C9F" w:rsidP="00360C9F">
      <w:pPr>
        <w:rPr>
          <w:rFonts w:eastAsia="MS Mincho"/>
        </w:rPr>
      </w:pPr>
      <w:r>
        <w:rPr>
          <w:rFonts w:eastAsia="MS Mincho"/>
        </w:rPr>
        <w:t xml:space="preserve">Avbokning från verksamhet ska meddelas skolans APL-samordnare via </w:t>
      </w:r>
      <w:r w:rsidR="006B7083">
        <w:rPr>
          <w:rFonts w:eastAsia="MS Mincho"/>
        </w:rPr>
        <w:t>e-post</w:t>
      </w:r>
      <w:r>
        <w:rPr>
          <w:rFonts w:eastAsia="MS Mincho"/>
        </w:rPr>
        <w:t>. Vid avbokning från verksamhet ska ersättningsplats ordnas av APL-samordnaren inom verksamheten.</w:t>
      </w:r>
    </w:p>
    <w:p w14:paraId="139AFBE7" w14:textId="77777777" w:rsidR="00360C9F" w:rsidRDefault="00360C9F" w:rsidP="00360C9F"/>
    <w:p w14:paraId="3BBE8EB5" w14:textId="77777777" w:rsidR="00360C9F" w:rsidRDefault="00360C9F" w:rsidP="00360C9F">
      <w:pPr>
        <w:keepNext/>
        <w:spacing w:before="240"/>
        <w:outlineLvl w:val="2"/>
        <w:rPr>
          <w:rFonts w:cs="Arial"/>
          <w:b/>
          <w:bCs/>
          <w:sz w:val="26"/>
        </w:rPr>
      </w:pPr>
      <w:r w:rsidRPr="008521AE">
        <w:rPr>
          <w:rFonts w:cs="Arial"/>
          <w:b/>
          <w:bCs/>
          <w:sz w:val="26"/>
        </w:rPr>
        <w:t>Skolans ansvar</w:t>
      </w:r>
      <w:r>
        <w:rPr>
          <w:rFonts w:cs="Arial"/>
          <w:b/>
          <w:bCs/>
          <w:sz w:val="26"/>
        </w:rPr>
        <w:t xml:space="preserve">: </w:t>
      </w:r>
    </w:p>
    <w:p w14:paraId="18757BAA" w14:textId="77777777" w:rsidR="00360C9F" w:rsidRPr="00FB6C80" w:rsidRDefault="00360C9F" w:rsidP="00360C9F">
      <w:pPr>
        <w:pStyle w:val="Liststycke"/>
        <w:keepNext/>
        <w:numPr>
          <w:ilvl w:val="0"/>
          <w:numId w:val="6"/>
        </w:numPr>
        <w:spacing w:before="240"/>
        <w:outlineLvl w:val="2"/>
        <w:rPr>
          <w:strike/>
        </w:rPr>
      </w:pPr>
      <w:r>
        <w:t>I</w:t>
      </w:r>
      <w:r w:rsidRPr="008521AE">
        <w:t>nformera den studerande om att det enbart är skolornas APL</w:t>
      </w:r>
      <w:r>
        <w:t>- samordnare</w:t>
      </w:r>
      <w:r w:rsidRPr="008521AE">
        <w:t xml:space="preserve"> som gör förfrågan om plats, inte den studerande själv eller dennes anhöriga.</w:t>
      </w:r>
    </w:p>
    <w:p w14:paraId="6E15EE4A" w14:textId="77777777" w:rsidR="00FB6C80" w:rsidRDefault="00FB6C80" w:rsidP="00FB6C80">
      <w:pPr>
        <w:pStyle w:val="Liststycke"/>
        <w:keepNext/>
        <w:spacing w:before="240"/>
        <w:outlineLvl w:val="2"/>
      </w:pPr>
    </w:p>
    <w:p w14:paraId="657C3428" w14:textId="77777777" w:rsidR="00F005DE" w:rsidRDefault="00FB6C80" w:rsidP="00F005DE">
      <w:pPr>
        <w:pStyle w:val="Liststycke"/>
        <w:keepNext/>
        <w:numPr>
          <w:ilvl w:val="0"/>
          <w:numId w:val="6"/>
        </w:numPr>
        <w:spacing w:before="240"/>
        <w:outlineLvl w:val="2"/>
      </w:pPr>
      <w:r w:rsidRPr="005E4198">
        <w:t>Om det föreligger särskilda behov hos den studerande som kräver anpassning under APL</w:t>
      </w:r>
      <w:r w:rsidR="00616D64" w:rsidRPr="005E4198">
        <w:t xml:space="preserve"> behöver skolan </w:t>
      </w:r>
      <w:r w:rsidR="005E4198" w:rsidRPr="005E4198">
        <w:t>i</w:t>
      </w:r>
      <w:r w:rsidR="009A00CA" w:rsidRPr="005E4198">
        <w:t xml:space="preserve"> samråd med eleven</w:t>
      </w:r>
      <w:r w:rsidR="00C53D16">
        <w:t xml:space="preserve"> </w:t>
      </w:r>
      <w:r w:rsidRPr="005E4198">
        <w:t xml:space="preserve">kontakta verksamhetens APL-samordnare för dialog </w:t>
      </w:r>
      <w:r w:rsidR="00616D64" w:rsidRPr="005E4198">
        <w:t xml:space="preserve">innan </w:t>
      </w:r>
      <w:r w:rsidR="00434922">
        <w:t>eleven</w:t>
      </w:r>
      <w:r w:rsidR="00616D64" w:rsidRPr="005E4198">
        <w:t xml:space="preserve"> placeras.</w:t>
      </w:r>
    </w:p>
    <w:p w14:paraId="33D3DC0B" w14:textId="77777777" w:rsidR="00F005DE" w:rsidRDefault="00F005DE" w:rsidP="00F005DE">
      <w:pPr>
        <w:pStyle w:val="Liststycke"/>
      </w:pPr>
    </w:p>
    <w:p w14:paraId="00F7C983" w14:textId="11FE57D5" w:rsidR="00FB6C80" w:rsidRDefault="00FB6C80" w:rsidP="00F005DE">
      <w:pPr>
        <w:pStyle w:val="Liststycke"/>
        <w:keepNext/>
        <w:numPr>
          <w:ilvl w:val="0"/>
          <w:numId w:val="6"/>
        </w:numPr>
        <w:spacing w:before="240"/>
        <w:outlineLvl w:val="2"/>
      </w:pPr>
      <w:r w:rsidRPr="008521AE">
        <w:t>Förutom avklarade kurser</w:t>
      </w:r>
      <w:r w:rsidR="003C44E2">
        <w:t xml:space="preserve"> </w:t>
      </w:r>
      <w:r w:rsidR="000D429B">
        <w:t xml:space="preserve">(se under rubrik Förkunskapskrav, </w:t>
      </w:r>
      <w:r w:rsidR="0085539D">
        <w:t>tabell 1</w:t>
      </w:r>
      <w:r w:rsidR="000D429B">
        <w:t>)</w:t>
      </w:r>
      <w:r w:rsidRPr="008521AE">
        <w:t xml:space="preserve"> ska de studerande vara väl förberedda </w:t>
      </w:r>
      <w:r w:rsidR="006B7083">
        <w:t xml:space="preserve">för </w:t>
      </w:r>
      <w:r w:rsidRPr="008521AE">
        <w:t xml:space="preserve">att </w:t>
      </w:r>
      <w:r w:rsidR="006B7083">
        <w:t xml:space="preserve">ha </w:t>
      </w:r>
      <w:r w:rsidRPr="008521AE">
        <w:t>möjlighet att nå kunskapskraven inom kursen och målen för APL.</w:t>
      </w:r>
    </w:p>
    <w:p w14:paraId="3CFA6980" w14:textId="77777777" w:rsidR="00FB6C80" w:rsidRDefault="00FB6C80" w:rsidP="00FB6C80">
      <w:pPr>
        <w:pStyle w:val="Liststycke"/>
        <w:keepNext/>
        <w:spacing w:before="240"/>
        <w:outlineLvl w:val="2"/>
      </w:pPr>
    </w:p>
    <w:p w14:paraId="6DAE3535" w14:textId="5E1A6510" w:rsidR="00FB6C80" w:rsidRPr="002810FF" w:rsidRDefault="00FB6C80" w:rsidP="00FB6C80">
      <w:pPr>
        <w:pStyle w:val="Liststycke"/>
        <w:keepNext/>
        <w:numPr>
          <w:ilvl w:val="0"/>
          <w:numId w:val="6"/>
        </w:numPr>
        <w:spacing w:before="240"/>
        <w:outlineLvl w:val="2"/>
      </w:pPr>
      <w:r>
        <w:t xml:space="preserve">Att undervisa i basala hygienrutiner. Det går bra att använda utbildningen som finns i </w:t>
      </w:r>
      <w:hyperlink r:id="rId12" w:history="1">
        <w:r w:rsidRPr="002810FF">
          <w:rPr>
            <w:rStyle w:val="Hyperlnk"/>
            <w:rFonts w:eastAsia="Calibri" w:cstheme="minorHAnsi"/>
            <w:szCs w:val="22"/>
            <w:lang w:eastAsia="en-US"/>
          </w:rPr>
          <w:t>Vårdhandboken</w:t>
        </w:r>
      </w:hyperlink>
      <w:r w:rsidRPr="002810FF">
        <w:rPr>
          <w:rStyle w:val="Hyperlnk"/>
          <w:rFonts w:eastAsia="Calibri" w:cstheme="minorHAnsi"/>
          <w:szCs w:val="22"/>
          <w:lang w:eastAsia="en-US"/>
        </w:rPr>
        <w:t xml:space="preserve"> eller annan motsvarande </w:t>
      </w:r>
    </w:p>
    <w:p w14:paraId="4F3C1229" w14:textId="77777777" w:rsidR="00FB6C80" w:rsidRPr="002810FF" w:rsidRDefault="00FB6C80" w:rsidP="00FB6C80">
      <w:pPr>
        <w:pStyle w:val="Liststycke"/>
      </w:pPr>
    </w:p>
    <w:p w14:paraId="0F9CCFA9" w14:textId="35A3FAD8" w:rsidR="00241A14" w:rsidRPr="00C53D16" w:rsidRDefault="00FB6C80" w:rsidP="00241A14">
      <w:pPr>
        <w:pStyle w:val="Liststycke"/>
        <w:numPr>
          <w:ilvl w:val="0"/>
          <w:numId w:val="6"/>
        </w:numPr>
        <w:rPr>
          <w:rFonts w:eastAsia="MS Mincho"/>
        </w:rPr>
      </w:pPr>
      <w:r w:rsidRPr="00C53D16">
        <w:rPr>
          <w:rFonts w:eastAsia="MS Mincho"/>
        </w:rPr>
        <w:t xml:space="preserve">Se till att den studerande har ordnat hälsointyg enligt Smittskydd Stockholms regler som finns att hämta på Vårdgivarguiden. </w:t>
      </w:r>
      <w:r w:rsidR="00C53D16" w:rsidRPr="002810FF">
        <w:rPr>
          <w:rStyle w:val="Hyperlnk"/>
          <w:rFonts w:eastAsia="Calibri" w:cstheme="minorHAnsi"/>
          <w:szCs w:val="22"/>
          <w:lang w:eastAsia="en-US"/>
        </w:rPr>
        <w:lastRenderedPageBreak/>
        <w:t>utbi</w:t>
      </w:r>
      <w:r w:rsidR="00C53D16">
        <w:rPr>
          <w:rStyle w:val="Hyperlnk"/>
          <w:rFonts w:eastAsia="Calibri" w:cstheme="minorHAnsi"/>
          <w:szCs w:val="22"/>
          <w:lang w:eastAsia="en-US"/>
        </w:rPr>
        <w:t xml:space="preserve">ldning. </w:t>
      </w:r>
      <w:hyperlink r:id="rId13" w:history="1">
        <w:r w:rsidR="00C53D16">
          <w:rPr>
            <w:rStyle w:val="Hyperlnk"/>
          </w:rPr>
          <w:t>Hälsodeklaration och hälsointyg inför anställning... | Vårdgivarguiden (vardgivarguiden.se)</w:t>
        </w:r>
      </w:hyperlink>
    </w:p>
    <w:p w14:paraId="6BEBA759" w14:textId="77777777" w:rsidR="00241A14" w:rsidRPr="00241A14" w:rsidRDefault="00241A14" w:rsidP="00241A14">
      <w:pPr>
        <w:rPr>
          <w:rFonts w:eastAsia="MS Mincho"/>
        </w:rPr>
      </w:pPr>
    </w:p>
    <w:p w14:paraId="6EB9987E" w14:textId="1EFE3B0A" w:rsidR="00034308" w:rsidRDefault="00FB6C80" w:rsidP="00034308">
      <w:pPr>
        <w:pStyle w:val="Liststycke"/>
        <w:numPr>
          <w:ilvl w:val="0"/>
          <w:numId w:val="6"/>
        </w:numPr>
        <w:rPr>
          <w:rFonts w:eastAsia="MS Mincho"/>
        </w:rPr>
      </w:pPr>
      <w:r w:rsidRPr="00862F5F">
        <w:rPr>
          <w:rFonts w:eastAsia="MS Mincho"/>
        </w:rPr>
        <w:t>Skicka kontaktuppgifter enligt dokument ”formulär - Information om studerande till mottagande verksamhet” till arbetsplatsen, med kopia till verksamhetens APL- samordnare, senast två veckor innan första APL</w:t>
      </w:r>
      <w:r w:rsidR="000C0DC8">
        <w:rPr>
          <w:rFonts w:eastAsia="MS Mincho"/>
        </w:rPr>
        <w:t>-</w:t>
      </w:r>
      <w:r w:rsidRPr="00862F5F">
        <w:rPr>
          <w:rFonts w:eastAsia="MS Mincho"/>
        </w:rPr>
        <w:t>dagen. Det är för att det ska finnas möjlighet att ordna med lokala behörigheter. Även mål för praktiken, bedömningsunderlag etc. ska bifogas.</w:t>
      </w:r>
    </w:p>
    <w:p w14:paraId="56035953" w14:textId="77777777" w:rsidR="00E22942" w:rsidRPr="00E22942" w:rsidRDefault="00E22942" w:rsidP="00E22942">
      <w:pPr>
        <w:pStyle w:val="Liststycke"/>
        <w:rPr>
          <w:rFonts w:eastAsia="MS Mincho"/>
        </w:rPr>
      </w:pPr>
    </w:p>
    <w:p w14:paraId="1A2BA542" w14:textId="3E896564" w:rsidR="00E22942" w:rsidRDefault="009C3FA6" w:rsidP="00034308">
      <w:pPr>
        <w:pStyle w:val="Liststycke"/>
        <w:numPr>
          <w:ilvl w:val="0"/>
          <w:numId w:val="6"/>
        </w:numPr>
        <w:rPr>
          <w:rFonts w:eastAsia="MS Mincho"/>
        </w:rPr>
      </w:pPr>
      <w:bookmarkStart w:id="6" w:name="_Hlk153452409"/>
      <w:r>
        <w:rPr>
          <w:rFonts w:eastAsia="MS Mincho"/>
        </w:rPr>
        <w:t>D</w:t>
      </w:r>
      <w:r w:rsidR="00E22942">
        <w:rPr>
          <w:rFonts w:eastAsia="MS Mincho"/>
        </w:rPr>
        <w:t xml:space="preserve">en studerande </w:t>
      </w:r>
      <w:r w:rsidR="00CF63FD">
        <w:rPr>
          <w:rFonts w:eastAsia="MS Mincho"/>
        </w:rPr>
        <w:t xml:space="preserve">ska ha </w:t>
      </w:r>
      <w:r w:rsidR="00E22942">
        <w:rPr>
          <w:rFonts w:eastAsia="MS Mincho"/>
        </w:rPr>
        <w:t xml:space="preserve">med sig en namnskylt med uppgifter om skolans namn, den studerandes förnam </w:t>
      </w:r>
      <w:r w:rsidR="00CF63FD">
        <w:rPr>
          <w:rFonts w:eastAsia="MS Mincho"/>
        </w:rPr>
        <w:t>och</w:t>
      </w:r>
      <w:r w:rsidR="00F005DE">
        <w:rPr>
          <w:rFonts w:eastAsia="MS Mincho"/>
        </w:rPr>
        <w:t xml:space="preserve"> </w:t>
      </w:r>
      <w:r w:rsidR="00E22942">
        <w:rPr>
          <w:rFonts w:eastAsia="MS Mincho"/>
        </w:rPr>
        <w:t>undersköterskeelev.</w:t>
      </w:r>
    </w:p>
    <w:bookmarkEnd w:id="6"/>
    <w:p w14:paraId="611BFB2E" w14:textId="77777777" w:rsidR="00034308" w:rsidRDefault="00034308" w:rsidP="00034308">
      <w:pPr>
        <w:pStyle w:val="Liststycke"/>
      </w:pPr>
    </w:p>
    <w:p w14:paraId="097FF2A6" w14:textId="77777777" w:rsidR="00FB6C80" w:rsidRPr="00034308" w:rsidRDefault="00FB6C80" w:rsidP="00034308">
      <w:pPr>
        <w:pStyle w:val="Liststycke"/>
        <w:numPr>
          <w:ilvl w:val="0"/>
          <w:numId w:val="6"/>
        </w:numPr>
        <w:rPr>
          <w:rFonts w:eastAsia="MS Mincho"/>
        </w:rPr>
      </w:pPr>
      <w:r>
        <w:t>Tillse att i</w:t>
      </w:r>
      <w:r w:rsidRPr="008521AE">
        <w:t>ngen annan undervisning planeras under APL</w:t>
      </w:r>
      <w:r>
        <w:t>-</w:t>
      </w:r>
      <w:r w:rsidRPr="008521AE">
        <w:t>perioden.</w:t>
      </w:r>
    </w:p>
    <w:p w14:paraId="19CFC060" w14:textId="77777777" w:rsidR="00F005DE" w:rsidRDefault="00F005DE" w:rsidP="0085539D"/>
    <w:p w14:paraId="35C5224A" w14:textId="77777777" w:rsidR="00F005DE" w:rsidRDefault="00F005DE" w:rsidP="0085539D"/>
    <w:p w14:paraId="787B4C11" w14:textId="77777777" w:rsidR="00F005DE" w:rsidRDefault="00F005DE" w:rsidP="0085539D"/>
    <w:p w14:paraId="7322B3F8" w14:textId="77777777" w:rsidR="00F005DE" w:rsidRDefault="00F005DE" w:rsidP="0085539D"/>
    <w:p w14:paraId="2D1E7AD6" w14:textId="77777777" w:rsidR="00F005DE" w:rsidRDefault="00F005DE" w:rsidP="0085539D"/>
    <w:p w14:paraId="0ADDBAB4" w14:textId="77777777" w:rsidR="00F005DE" w:rsidRDefault="00F005DE" w:rsidP="0085539D"/>
    <w:p w14:paraId="39A9AAF6" w14:textId="77777777" w:rsidR="00F005DE" w:rsidRDefault="00F005DE" w:rsidP="0085539D"/>
    <w:p w14:paraId="554E5605" w14:textId="77777777" w:rsidR="00F005DE" w:rsidRDefault="00F005DE" w:rsidP="0085539D"/>
    <w:p w14:paraId="6FDFE1C6" w14:textId="77777777" w:rsidR="00F005DE" w:rsidRDefault="00F005DE" w:rsidP="0085539D"/>
    <w:p w14:paraId="5547E065" w14:textId="77777777" w:rsidR="00F005DE" w:rsidRDefault="00F005DE" w:rsidP="0085539D"/>
    <w:p w14:paraId="039278E1" w14:textId="77777777" w:rsidR="00F005DE" w:rsidRDefault="00F005DE" w:rsidP="0085539D"/>
    <w:p w14:paraId="2B2244D6" w14:textId="77777777" w:rsidR="00F005DE" w:rsidRDefault="00F005DE" w:rsidP="0085539D"/>
    <w:p w14:paraId="317862E0" w14:textId="77777777" w:rsidR="00F005DE" w:rsidRDefault="00F005DE" w:rsidP="0085539D"/>
    <w:p w14:paraId="1C52481E" w14:textId="77777777" w:rsidR="00F005DE" w:rsidRDefault="00F005DE" w:rsidP="0085539D"/>
    <w:p w14:paraId="43174117" w14:textId="77777777" w:rsidR="00F005DE" w:rsidRDefault="00F005DE" w:rsidP="0085539D"/>
    <w:p w14:paraId="238C7B2B" w14:textId="77777777" w:rsidR="00F005DE" w:rsidRDefault="00F005DE" w:rsidP="0085539D"/>
    <w:p w14:paraId="743F7419" w14:textId="77777777" w:rsidR="00F005DE" w:rsidRDefault="00F005DE" w:rsidP="0085539D"/>
    <w:p w14:paraId="269D3DDB" w14:textId="77777777" w:rsidR="00F005DE" w:rsidRDefault="00F005DE" w:rsidP="0085539D"/>
    <w:p w14:paraId="47B734F7" w14:textId="77777777" w:rsidR="00F005DE" w:rsidRDefault="00F005DE" w:rsidP="0085539D"/>
    <w:p w14:paraId="00AE7967" w14:textId="77777777" w:rsidR="00F005DE" w:rsidRDefault="00F005DE" w:rsidP="0085539D"/>
    <w:p w14:paraId="5255EE16" w14:textId="77777777" w:rsidR="00F005DE" w:rsidRDefault="00F005DE" w:rsidP="0085539D"/>
    <w:p w14:paraId="33629883" w14:textId="77777777" w:rsidR="00F005DE" w:rsidRDefault="00F005DE" w:rsidP="0085539D"/>
    <w:p w14:paraId="24ABE337" w14:textId="77777777" w:rsidR="00F005DE" w:rsidRDefault="00F005DE" w:rsidP="0085539D"/>
    <w:p w14:paraId="2DE54738" w14:textId="77777777" w:rsidR="00F005DE" w:rsidRDefault="00F005DE" w:rsidP="0085539D"/>
    <w:p w14:paraId="061DBEEC" w14:textId="77777777" w:rsidR="00F005DE" w:rsidRDefault="00F005DE" w:rsidP="0085539D"/>
    <w:p w14:paraId="5D6409E4" w14:textId="77777777" w:rsidR="00F005DE" w:rsidRDefault="00F005DE" w:rsidP="0085539D"/>
    <w:p w14:paraId="5EB5C98D" w14:textId="4C1F0733" w:rsidR="000D429B" w:rsidRPr="000D429B" w:rsidRDefault="000D429B" w:rsidP="0085539D">
      <w:pPr>
        <w:rPr>
          <w:sz w:val="32"/>
          <w:szCs w:val="32"/>
        </w:rPr>
      </w:pPr>
      <w:r w:rsidRPr="000D429B">
        <w:rPr>
          <w:sz w:val="32"/>
          <w:szCs w:val="32"/>
        </w:rPr>
        <w:t xml:space="preserve">Förkunskapskrav </w:t>
      </w:r>
    </w:p>
    <w:p w14:paraId="7F021D48" w14:textId="77777777" w:rsidR="000D429B" w:rsidRDefault="000D429B" w:rsidP="0085539D"/>
    <w:p w14:paraId="0F2A450D" w14:textId="4EA63D0A" w:rsidR="0085539D" w:rsidRPr="003B6C2D" w:rsidRDefault="0085539D" w:rsidP="0085539D">
      <w:r>
        <w:t>Studerande inom</w:t>
      </w:r>
      <w:r w:rsidR="00E16A21">
        <w:t xml:space="preserve"> </w:t>
      </w:r>
      <w:r w:rsidR="00C64306">
        <w:t xml:space="preserve">gymnasiets vård- och omsorgsprogram samt studerande på </w:t>
      </w:r>
      <w:r w:rsidR="00E16A21">
        <w:t xml:space="preserve">vuxenutbildning och </w:t>
      </w:r>
      <w:r w:rsidR="00C64306">
        <w:t xml:space="preserve">vuxenutbildningens </w:t>
      </w:r>
      <w:r w:rsidR="00E22942">
        <w:t xml:space="preserve">yrkespaket undersköterska </w:t>
      </w:r>
      <w:r w:rsidR="000D429B">
        <w:t xml:space="preserve">som går ut på APL </w:t>
      </w:r>
      <w:r w:rsidR="0048737C">
        <w:t>ska</w:t>
      </w:r>
      <w:r w:rsidR="000D429B">
        <w:t xml:space="preserve"> uppfylla krav på genomförda och </w:t>
      </w:r>
      <w:r w:rsidR="0048737C">
        <w:t xml:space="preserve">godkända kurser enligt </w:t>
      </w:r>
      <w:r w:rsidR="000D429B">
        <w:t>tabell 1 nedan.</w:t>
      </w:r>
      <w:r w:rsidR="0048737C">
        <w:t xml:space="preserve"> </w:t>
      </w:r>
      <w:r w:rsidR="000D429B" w:rsidRPr="00434922">
        <w:t>F</w:t>
      </w:r>
      <w:r w:rsidR="0048737C" w:rsidRPr="00434922">
        <w:t>ör att göra APL inom akutsjukvård</w:t>
      </w:r>
      <w:r w:rsidR="000D429B" w:rsidRPr="00434922">
        <w:t xml:space="preserve"> ska den studerande</w:t>
      </w:r>
      <w:r w:rsidR="0048737C" w:rsidRPr="00434922">
        <w:t xml:space="preserve"> </w:t>
      </w:r>
      <w:r w:rsidR="000C0DC8">
        <w:t xml:space="preserve">dessutom </w:t>
      </w:r>
      <w:r w:rsidR="0048737C" w:rsidRPr="00434922">
        <w:t>ha påbörjat kursen Hälso- och sjukvård 2 (</w:t>
      </w:r>
      <w:r w:rsidR="00A71538" w:rsidRPr="00434922">
        <w:t>100</w:t>
      </w:r>
      <w:r w:rsidR="0048737C" w:rsidRPr="00434922">
        <w:t>p.)</w:t>
      </w:r>
      <w:r w:rsidR="000C0DC8">
        <w:t>.</w:t>
      </w:r>
      <w:r w:rsidR="0048737C" w:rsidRPr="00434922">
        <w:t xml:space="preserve"> </w:t>
      </w:r>
      <w:r w:rsidR="00AE7F79" w:rsidRPr="003B6C2D">
        <w:t>F</w:t>
      </w:r>
      <w:r w:rsidR="00434922" w:rsidRPr="003B6C2D">
        <w:t>ör att göra APL inom psykiatrin ska den studerande ha påbörjat k</w:t>
      </w:r>
      <w:r w:rsidR="0048737C" w:rsidRPr="003B6C2D">
        <w:t>ursen Psykiatri 2 (</w:t>
      </w:r>
      <w:r w:rsidR="00A71538" w:rsidRPr="003B6C2D">
        <w:t>100</w:t>
      </w:r>
      <w:r w:rsidR="0048737C" w:rsidRPr="003B6C2D">
        <w:t>p.)</w:t>
      </w:r>
      <w:r w:rsidR="000C0DC8">
        <w:t>.</w:t>
      </w:r>
    </w:p>
    <w:p w14:paraId="63A7BACB" w14:textId="77777777" w:rsidR="000D429B" w:rsidRDefault="000D429B" w:rsidP="0085539D"/>
    <w:p w14:paraId="4204E5AB" w14:textId="1BAFAF4C" w:rsidR="000D429B" w:rsidRDefault="000D429B" w:rsidP="000D429B">
      <w:r w:rsidRPr="00F005DE">
        <w:t>Tabell 1.</w:t>
      </w:r>
      <w:r>
        <w:t xml:space="preserve"> Förkunskapskrav för APL för</w:t>
      </w:r>
      <w:r w:rsidR="00E16A21">
        <w:t xml:space="preserve"> studerande inom </w:t>
      </w:r>
      <w:r>
        <w:t>gymnasiets</w:t>
      </w:r>
      <w:r w:rsidR="00E16A21">
        <w:t xml:space="preserve">- och vuxenutbildningens </w:t>
      </w:r>
      <w:r>
        <w:t>vård- och omsorgsprogram</w:t>
      </w:r>
      <w:r w:rsidR="00E22942">
        <w:t xml:space="preserve"> eller yrkespaket undersköterska</w:t>
      </w:r>
      <w:r w:rsidR="00E16A21">
        <w:t>.</w:t>
      </w:r>
      <w:r w:rsidR="009A00CA">
        <w:t xml:space="preserve"> </w:t>
      </w:r>
    </w:p>
    <w:p w14:paraId="50EBB154" w14:textId="77777777" w:rsidR="0085539D" w:rsidRDefault="0085539D" w:rsidP="0085539D"/>
    <w:tbl>
      <w:tblPr>
        <w:tblStyle w:val="Tabellrutnt"/>
        <w:tblW w:w="8500" w:type="dxa"/>
        <w:tblLook w:val="04A0" w:firstRow="1" w:lastRow="0" w:firstColumn="1" w:lastColumn="0" w:noHBand="0" w:noVBand="1"/>
      </w:tblPr>
      <w:tblGrid>
        <w:gridCol w:w="8500"/>
      </w:tblGrid>
      <w:tr w:rsidR="00C64306" w14:paraId="1FB11DA4" w14:textId="77777777" w:rsidTr="00C64306">
        <w:tc>
          <w:tcPr>
            <w:tcW w:w="8500" w:type="dxa"/>
            <w:shd w:val="clear" w:color="auto" w:fill="EEECE1" w:themeFill="background2"/>
          </w:tcPr>
          <w:p w14:paraId="55008EBA" w14:textId="6D833556" w:rsidR="00C64306" w:rsidRDefault="00C64306" w:rsidP="0085539D">
            <w:pPr>
              <w:rPr>
                <w:b/>
                <w:bCs/>
              </w:rPr>
            </w:pPr>
            <w:r w:rsidRPr="0048737C">
              <w:rPr>
                <w:b/>
                <w:bCs/>
              </w:rPr>
              <w:t>Gymnasiets</w:t>
            </w:r>
            <w:r>
              <w:rPr>
                <w:b/>
                <w:bCs/>
              </w:rPr>
              <w:t xml:space="preserve"> </w:t>
            </w:r>
            <w:r w:rsidRPr="0048737C">
              <w:rPr>
                <w:b/>
                <w:bCs/>
              </w:rPr>
              <w:t xml:space="preserve">reviderade vård- och omsorgsprogram Gy-11 </w:t>
            </w:r>
            <w:r>
              <w:rPr>
                <w:b/>
                <w:bCs/>
              </w:rPr>
              <w:t xml:space="preserve">samt vuxenutbildning </w:t>
            </w:r>
            <w:r w:rsidRPr="0048737C">
              <w:rPr>
                <w:b/>
                <w:bCs/>
              </w:rPr>
              <w:t>från 1/</w:t>
            </w:r>
            <w:r>
              <w:rPr>
                <w:b/>
                <w:bCs/>
              </w:rPr>
              <w:t>7</w:t>
            </w:r>
            <w:r w:rsidRPr="0048737C">
              <w:rPr>
                <w:b/>
                <w:bCs/>
              </w:rPr>
              <w:t>–2021</w:t>
            </w:r>
          </w:p>
          <w:p w14:paraId="117063CB" w14:textId="77777777" w:rsidR="00C64306" w:rsidRPr="0048737C" w:rsidRDefault="00C64306" w:rsidP="0085539D">
            <w:pPr>
              <w:rPr>
                <w:b/>
                <w:bCs/>
              </w:rPr>
            </w:pPr>
          </w:p>
        </w:tc>
      </w:tr>
      <w:tr w:rsidR="00C64306" w14:paraId="0BABABC4" w14:textId="77777777" w:rsidTr="00C64306">
        <w:tc>
          <w:tcPr>
            <w:tcW w:w="8500" w:type="dxa"/>
          </w:tcPr>
          <w:p w14:paraId="117D36CA" w14:textId="401560BD" w:rsidR="00C64306" w:rsidRDefault="00C64306" w:rsidP="0085539D">
            <w:r>
              <w:t>Anatomi och Fysiologi 1+ 2(50p. +50p)</w:t>
            </w:r>
          </w:p>
        </w:tc>
      </w:tr>
      <w:tr w:rsidR="00C64306" w14:paraId="53E7B442" w14:textId="77777777" w:rsidTr="00C64306">
        <w:tc>
          <w:tcPr>
            <w:tcW w:w="8500" w:type="dxa"/>
          </w:tcPr>
          <w:p w14:paraId="5DE27678" w14:textId="7B304D46" w:rsidR="00C64306" w:rsidRDefault="00C64306" w:rsidP="0085539D">
            <w:r>
              <w:t>Omvårdnad 1(100p.)</w:t>
            </w:r>
          </w:p>
        </w:tc>
      </w:tr>
      <w:tr w:rsidR="00C64306" w14:paraId="2FF8B661" w14:textId="77777777" w:rsidTr="00C64306">
        <w:tc>
          <w:tcPr>
            <w:tcW w:w="8500" w:type="dxa"/>
          </w:tcPr>
          <w:p w14:paraId="3AA6E700" w14:textId="572363DA" w:rsidR="00C64306" w:rsidRDefault="00C64306" w:rsidP="0085539D">
            <w:r>
              <w:t>Hälso- och sjukvård 1 (100p.)</w:t>
            </w:r>
          </w:p>
        </w:tc>
      </w:tr>
      <w:tr w:rsidR="00C64306" w14:paraId="747D94AA" w14:textId="77777777" w:rsidTr="00C64306">
        <w:tc>
          <w:tcPr>
            <w:tcW w:w="8500" w:type="dxa"/>
          </w:tcPr>
          <w:p w14:paraId="15CCFFCA" w14:textId="77777777" w:rsidR="00C64306" w:rsidRDefault="00C64306" w:rsidP="0085539D">
            <w:r>
              <w:t>Gerontologi och geriatrik (100p.)</w:t>
            </w:r>
          </w:p>
        </w:tc>
      </w:tr>
      <w:tr w:rsidR="00C64306" w14:paraId="0D663089" w14:textId="77777777" w:rsidTr="00C64306">
        <w:tc>
          <w:tcPr>
            <w:tcW w:w="8500" w:type="dxa"/>
          </w:tcPr>
          <w:p w14:paraId="32FF7632" w14:textId="0DE9DA73" w:rsidR="00C64306" w:rsidRPr="005E4198" w:rsidRDefault="00C64306" w:rsidP="0085539D">
            <w:r w:rsidRPr="005E4198">
              <w:t>Funktionsförmåga och funktionsnedsättning 1 (100p.)</w:t>
            </w:r>
          </w:p>
        </w:tc>
      </w:tr>
      <w:tr w:rsidR="00C64306" w14:paraId="2705E80A" w14:textId="77777777" w:rsidTr="00C64306">
        <w:tc>
          <w:tcPr>
            <w:tcW w:w="8500" w:type="dxa"/>
          </w:tcPr>
          <w:p w14:paraId="77D0F9A3" w14:textId="2BC01CD6" w:rsidR="00C64306" w:rsidRPr="005E4198" w:rsidRDefault="00C64306" w:rsidP="0085539D">
            <w:r w:rsidRPr="005E4198">
              <w:t>Social omsorg 1 (100p.)</w:t>
            </w:r>
          </w:p>
        </w:tc>
      </w:tr>
      <w:tr w:rsidR="00C64306" w14:paraId="4820D32C" w14:textId="77777777" w:rsidTr="00C64306">
        <w:tc>
          <w:tcPr>
            <w:tcW w:w="8500" w:type="dxa"/>
          </w:tcPr>
          <w:p w14:paraId="4341A341" w14:textId="1031421A" w:rsidR="00C64306" w:rsidRDefault="00C64306" w:rsidP="0085539D">
            <w:r>
              <w:t>Svenska 1 (100p.) eller svenska som andra språk 1 (100p.)</w:t>
            </w:r>
          </w:p>
        </w:tc>
      </w:tr>
      <w:tr w:rsidR="00C64306" w14:paraId="30CB3280" w14:textId="77777777" w:rsidTr="00C64306">
        <w:tc>
          <w:tcPr>
            <w:tcW w:w="8500" w:type="dxa"/>
          </w:tcPr>
          <w:p w14:paraId="0BF428BB" w14:textId="7497B597" w:rsidR="00C64306" w:rsidRDefault="00C64306" w:rsidP="0085539D">
            <w:r>
              <w:t>Psykologi 1 (50p.)</w:t>
            </w:r>
          </w:p>
        </w:tc>
      </w:tr>
      <w:tr w:rsidR="00C64306" w14:paraId="497FA0A4" w14:textId="77777777" w:rsidTr="00C64306">
        <w:tc>
          <w:tcPr>
            <w:tcW w:w="8500" w:type="dxa"/>
          </w:tcPr>
          <w:p w14:paraId="1FE25911" w14:textId="78B62BDC" w:rsidR="00C64306" w:rsidRDefault="00C64306" w:rsidP="0085539D">
            <w:r w:rsidRPr="00A97634">
              <w:t xml:space="preserve">Psykiatri 1 (100p.) </w:t>
            </w:r>
          </w:p>
        </w:tc>
      </w:tr>
      <w:tr w:rsidR="00C64306" w14:paraId="2B327714" w14:textId="77777777" w:rsidTr="00C64306">
        <w:tc>
          <w:tcPr>
            <w:tcW w:w="8500" w:type="dxa"/>
          </w:tcPr>
          <w:p w14:paraId="535ABD80" w14:textId="77777777" w:rsidR="00C64306" w:rsidRPr="000D429B" w:rsidRDefault="00C64306" w:rsidP="0085539D">
            <w:pPr>
              <w:rPr>
                <w:u w:val="single"/>
              </w:rPr>
            </w:pPr>
            <w:r w:rsidRPr="000D429B">
              <w:rPr>
                <w:u w:val="single"/>
              </w:rPr>
              <w:t xml:space="preserve">APL inom akutsjukvård: </w:t>
            </w:r>
          </w:p>
          <w:p w14:paraId="5B24BB4E" w14:textId="22856880" w:rsidR="00C64306" w:rsidRDefault="00C64306" w:rsidP="0085539D">
            <w:r>
              <w:t xml:space="preserve">Påbörjat kursen Hälso- och sjukvård 2 (100p.) </w:t>
            </w:r>
          </w:p>
        </w:tc>
      </w:tr>
      <w:tr w:rsidR="00C64306" w14:paraId="6DD2C91A" w14:textId="77777777" w:rsidTr="00C64306">
        <w:tc>
          <w:tcPr>
            <w:tcW w:w="8500" w:type="dxa"/>
          </w:tcPr>
          <w:p w14:paraId="3DCB5545" w14:textId="4B303FA1" w:rsidR="00C64306" w:rsidRPr="00426961" w:rsidRDefault="00C64306" w:rsidP="0085539D">
            <w:pPr>
              <w:rPr>
                <w:u w:val="single"/>
              </w:rPr>
            </w:pPr>
            <w:r w:rsidRPr="00426961">
              <w:rPr>
                <w:u w:val="single"/>
              </w:rPr>
              <w:t xml:space="preserve">APL inom </w:t>
            </w:r>
            <w:r>
              <w:rPr>
                <w:u w:val="single"/>
              </w:rPr>
              <w:t>p</w:t>
            </w:r>
            <w:r w:rsidRPr="00426961">
              <w:rPr>
                <w:u w:val="single"/>
              </w:rPr>
              <w:t>sykiatri:</w:t>
            </w:r>
          </w:p>
          <w:p w14:paraId="3C92FBCD" w14:textId="1409E761" w:rsidR="00C64306" w:rsidRDefault="00C64306" w:rsidP="0085539D">
            <w:r>
              <w:t>Påbörjat kursen Psykiatri 2 (100p.)</w:t>
            </w:r>
          </w:p>
        </w:tc>
      </w:tr>
    </w:tbl>
    <w:p w14:paraId="4A79DE49" w14:textId="77777777" w:rsidR="00FB6C80" w:rsidRDefault="00FB6C80" w:rsidP="00FB6C80"/>
    <w:p w14:paraId="5A9DCC9C" w14:textId="77777777" w:rsidR="00FB6C80" w:rsidRPr="00A82A3F" w:rsidRDefault="00B84070" w:rsidP="00F164AD">
      <w:pPr>
        <w:ind w:firstLine="1080"/>
        <w:contextualSpacing/>
      </w:pPr>
      <w:r>
        <w:t>Övrigt a</w:t>
      </w:r>
      <w:r w:rsidR="00FB6C80" w:rsidRPr="00A82A3F">
        <w:t xml:space="preserve">tt informera den studerande om </w:t>
      </w:r>
    </w:p>
    <w:p w14:paraId="72BF7321" w14:textId="77777777" w:rsidR="00FB6C80" w:rsidRPr="00A82A3F" w:rsidRDefault="00FB6C80" w:rsidP="00FB6C80">
      <w:pPr>
        <w:numPr>
          <w:ilvl w:val="1"/>
          <w:numId w:val="5"/>
        </w:numPr>
        <w:contextualSpacing/>
      </w:pPr>
      <w:r w:rsidRPr="00A82A3F">
        <w:t>att följa det schema som handledaren</w:t>
      </w:r>
      <w:r>
        <w:t xml:space="preserve"> tilldelar</w:t>
      </w:r>
      <w:r w:rsidRPr="00A82A3F">
        <w:t>.</w:t>
      </w:r>
    </w:p>
    <w:p w14:paraId="35B0BFDC" w14:textId="77777777" w:rsidR="00FB6C80" w:rsidRPr="00A82A3F" w:rsidRDefault="00FB6C80" w:rsidP="00FB6C80">
      <w:pPr>
        <w:numPr>
          <w:ilvl w:val="1"/>
          <w:numId w:val="5"/>
        </w:numPr>
        <w:contextualSpacing/>
      </w:pPr>
      <w:r w:rsidRPr="00A82A3F">
        <w:t>att 100 procents närvaro av planerad tid</w:t>
      </w:r>
      <w:r>
        <w:t xml:space="preserve"> krävs</w:t>
      </w:r>
      <w:r w:rsidRPr="00A82A3F">
        <w:t xml:space="preserve"> under minst tre veckor för att bli bedömd av handledaren.</w:t>
      </w:r>
    </w:p>
    <w:p w14:paraId="083A039B" w14:textId="7414F5D7" w:rsidR="00642F1D" w:rsidRPr="00980E1A" w:rsidRDefault="00FB6C80" w:rsidP="00980E1A">
      <w:pPr>
        <w:numPr>
          <w:ilvl w:val="1"/>
          <w:numId w:val="5"/>
        </w:numPr>
        <w:contextualSpacing/>
      </w:pPr>
      <w:r w:rsidRPr="00A82A3F">
        <w:t>gällande sekretessregler.</w:t>
      </w:r>
    </w:p>
    <w:p w14:paraId="2483EB95" w14:textId="77777777" w:rsidR="00E22942" w:rsidRDefault="00E22942" w:rsidP="00642F1D">
      <w:pPr>
        <w:keepNext/>
        <w:spacing w:before="240"/>
        <w:outlineLvl w:val="2"/>
        <w:rPr>
          <w:rFonts w:cs="Arial"/>
          <w:b/>
          <w:bCs/>
          <w:sz w:val="26"/>
        </w:rPr>
      </w:pPr>
    </w:p>
    <w:p w14:paraId="2773DAE2" w14:textId="77777777" w:rsidR="00E22942" w:rsidRDefault="00E22942" w:rsidP="00642F1D">
      <w:pPr>
        <w:keepNext/>
        <w:spacing w:before="240"/>
        <w:outlineLvl w:val="2"/>
        <w:rPr>
          <w:rFonts w:cs="Arial"/>
          <w:b/>
          <w:bCs/>
          <w:sz w:val="26"/>
        </w:rPr>
      </w:pPr>
    </w:p>
    <w:p w14:paraId="34A9169E" w14:textId="611616C1" w:rsidR="00642F1D" w:rsidRDefault="00642F1D" w:rsidP="00642F1D">
      <w:pPr>
        <w:keepNext/>
        <w:spacing w:before="240"/>
        <w:outlineLvl w:val="2"/>
        <w:rPr>
          <w:rFonts w:cs="Arial"/>
          <w:b/>
          <w:bCs/>
          <w:sz w:val="26"/>
        </w:rPr>
      </w:pPr>
      <w:r w:rsidRPr="00415F05">
        <w:rPr>
          <w:rFonts w:cs="Arial"/>
          <w:b/>
          <w:bCs/>
          <w:sz w:val="26"/>
        </w:rPr>
        <w:t>Den studerandes ansvar:</w:t>
      </w:r>
    </w:p>
    <w:p w14:paraId="55D585E9" w14:textId="77777777" w:rsidR="00642F1D" w:rsidRPr="00415F05" w:rsidRDefault="00642F1D" w:rsidP="00642F1D">
      <w:pPr>
        <w:keepNext/>
        <w:spacing w:before="240"/>
        <w:contextualSpacing/>
        <w:outlineLvl w:val="2"/>
      </w:pPr>
    </w:p>
    <w:p w14:paraId="7B7F25AA" w14:textId="77777777" w:rsidR="00642F1D" w:rsidRDefault="00642F1D" w:rsidP="00642F1D">
      <w:pPr>
        <w:numPr>
          <w:ilvl w:val="0"/>
          <w:numId w:val="7"/>
        </w:numPr>
        <w:contextualSpacing/>
      </w:pPr>
      <w:r w:rsidRPr="00415F05">
        <w:t>Att i god tid innan APL</w:t>
      </w:r>
      <w:r>
        <w:t>-</w:t>
      </w:r>
      <w:r w:rsidRPr="00415F05">
        <w:t xml:space="preserve">perioden startar ta kontakt med </w:t>
      </w:r>
      <w:r>
        <w:t xml:space="preserve">sin </w:t>
      </w:r>
      <w:r w:rsidRPr="00415F05">
        <w:t>kommande APL</w:t>
      </w:r>
      <w:r>
        <w:t>-</w:t>
      </w:r>
      <w:r w:rsidRPr="00415F05">
        <w:t>plats.</w:t>
      </w:r>
    </w:p>
    <w:p w14:paraId="57D4EBC9" w14:textId="77777777" w:rsidR="00642F1D" w:rsidRDefault="00642F1D" w:rsidP="00642F1D">
      <w:pPr>
        <w:pStyle w:val="Liststycke"/>
      </w:pPr>
    </w:p>
    <w:p w14:paraId="1E664FC5" w14:textId="77777777" w:rsidR="00642F1D" w:rsidRDefault="00642F1D" w:rsidP="00642F1D">
      <w:pPr>
        <w:pStyle w:val="Liststycke"/>
        <w:numPr>
          <w:ilvl w:val="0"/>
          <w:numId w:val="7"/>
        </w:numPr>
      </w:pPr>
      <w:r w:rsidRPr="00415F05">
        <w:t xml:space="preserve">Att ha en giltig legitimation att visa för ansvarig handledare eller chef. </w:t>
      </w:r>
      <w:r>
        <w:t xml:space="preserve"> </w:t>
      </w:r>
    </w:p>
    <w:p w14:paraId="560EF28F" w14:textId="77777777" w:rsidR="00642F1D" w:rsidRDefault="00642F1D" w:rsidP="00642F1D">
      <w:pPr>
        <w:pStyle w:val="Liststycke"/>
      </w:pPr>
    </w:p>
    <w:p w14:paraId="1DDFFD37" w14:textId="5C0B92AD" w:rsidR="00C53D16" w:rsidRPr="00C53D16" w:rsidRDefault="00642F1D" w:rsidP="00C53D16">
      <w:pPr>
        <w:pStyle w:val="Liststycke"/>
        <w:numPr>
          <w:ilvl w:val="0"/>
          <w:numId w:val="7"/>
        </w:numPr>
        <w:rPr>
          <w:rFonts w:eastAsia="MS Mincho"/>
          <w:color w:val="0000FF" w:themeColor="hyperlink"/>
          <w:u w:val="single"/>
        </w:rPr>
      </w:pPr>
      <w:r w:rsidRPr="00212F08">
        <w:rPr>
          <w:rFonts w:eastAsia="MS Mincho"/>
        </w:rPr>
        <w:t xml:space="preserve">Att visa upp underskrivet hälsointyg enligt Smittskydd Stockholms regler. Hälsointyget finns att hämta på Vårdgivarguiden. </w:t>
      </w:r>
      <w:hyperlink r:id="rId14" w:history="1">
        <w:r w:rsidR="00C53D16">
          <w:rPr>
            <w:rStyle w:val="Hyperlnk"/>
          </w:rPr>
          <w:t>Hälsodeklaration och hälsointyg inför anställning... | Vårdgivarguiden (vardgivarguiden.se)</w:t>
        </w:r>
      </w:hyperlink>
    </w:p>
    <w:p w14:paraId="4306ED4F" w14:textId="77777777" w:rsidR="00C53D16" w:rsidRPr="00C53D16" w:rsidRDefault="00C53D16" w:rsidP="00C53D16">
      <w:pPr>
        <w:pStyle w:val="Liststycke"/>
        <w:rPr>
          <w:rFonts w:eastAsia="MS Mincho"/>
          <w:color w:val="0000FF" w:themeColor="hyperlink"/>
          <w:u w:val="single"/>
        </w:rPr>
      </w:pPr>
    </w:p>
    <w:p w14:paraId="5CE0B174" w14:textId="77777777" w:rsidR="00642F1D" w:rsidRDefault="00642F1D" w:rsidP="00642F1D">
      <w:pPr>
        <w:pStyle w:val="Liststycke"/>
        <w:numPr>
          <w:ilvl w:val="0"/>
          <w:numId w:val="7"/>
        </w:numPr>
      </w:pPr>
      <w:r w:rsidRPr="00415F05">
        <w:t>Att ha läst igenom och skrivit under dokumentet om de sekretessregler som gäller. Detta ska lämnas till ansvarig handledare eller chef</w:t>
      </w:r>
      <w:r w:rsidRPr="00AE7048">
        <w:rPr>
          <w:rFonts w:eastAsia="MS Mincho"/>
        </w:rPr>
        <w:t xml:space="preserve"> när </w:t>
      </w:r>
      <w:r>
        <w:rPr>
          <w:rFonts w:eastAsia="MS Mincho"/>
        </w:rPr>
        <w:t>APL-perioden</w:t>
      </w:r>
      <w:r w:rsidRPr="00AE7048">
        <w:rPr>
          <w:rFonts w:eastAsia="MS Mincho"/>
        </w:rPr>
        <w:t xml:space="preserve"> börjar och sparas av verksamheten.</w:t>
      </w:r>
    </w:p>
    <w:p w14:paraId="3304A1C8" w14:textId="77777777" w:rsidR="00642F1D" w:rsidRDefault="00642F1D" w:rsidP="00642F1D">
      <w:pPr>
        <w:pStyle w:val="Liststycke"/>
        <w:rPr>
          <w:rFonts w:eastAsia="Calibri" w:cstheme="minorHAnsi"/>
          <w:szCs w:val="22"/>
          <w:lang w:eastAsia="en-US"/>
        </w:rPr>
      </w:pPr>
    </w:p>
    <w:p w14:paraId="53BF4C0C" w14:textId="77777777" w:rsidR="00642F1D" w:rsidRPr="003769C9" w:rsidRDefault="00642F1D" w:rsidP="00642F1D">
      <w:pPr>
        <w:pStyle w:val="Liststycke"/>
        <w:numPr>
          <w:ilvl w:val="0"/>
          <w:numId w:val="7"/>
        </w:numPr>
      </w:pPr>
      <w:r>
        <w:rPr>
          <w:rFonts w:eastAsia="Calibri"/>
          <w:lang w:eastAsia="en-US"/>
        </w:rPr>
        <w:t>A</w:t>
      </w:r>
      <w:r w:rsidRPr="00654B20">
        <w:rPr>
          <w:rFonts w:eastAsia="Calibri"/>
          <w:lang w:eastAsia="en-US"/>
        </w:rPr>
        <w:t xml:space="preserve">tt genomgå utbildning om basala hygienrutiner </w:t>
      </w:r>
      <w:r>
        <w:rPr>
          <w:rFonts w:eastAsia="Calibri"/>
          <w:lang w:eastAsia="en-US"/>
        </w:rPr>
        <w:t xml:space="preserve">motsvarande innehållet i </w:t>
      </w:r>
      <w:hyperlink r:id="rId15" w:history="1">
        <w:r w:rsidRPr="00654B20">
          <w:rPr>
            <w:rStyle w:val="Hyperlnk"/>
            <w:rFonts w:eastAsia="Calibri" w:cstheme="minorHAnsi"/>
            <w:szCs w:val="22"/>
            <w:lang w:eastAsia="en-US"/>
          </w:rPr>
          <w:t>Vårdhandbo</w:t>
        </w:r>
        <w:r>
          <w:rPr>
            <w:rStyle w:val="Hyperlnk"/>
            <w:rFonts w:eastAsia="Calibri" w:cstheme="minorHAnsi"/>
            <w:szCs w:val="22"/>
            <w:lang w:eastAsia="en-US"/>
          </w:rPr>
          <w:t>k</w:t>
        </w:r>
        <w:r w:rsidRPr="00654B20">
          <w:rPr>
            <w:rStyle w:val="Hyperlnk"/>
            <w:rFonts w:eastAsia="Calibri" w:cstheme="minorHAnsi"/>
            <w:szCs w:val="22"/>
            <w:lang w:eastAsia="en-US"/>
          </w:rPr>
          <w:t>en</w:t>
        </w:r>
      </w:hyperlink>
      <w:r>
        <w:rPr>
          <w:rFonts w:eastAsia="Calibri"/>
          <w:lang w:eastAsia="en-US"/>
        </w:rPr>
        <w:t xml:space="preserve">. Där </w:t>
      </w:r>
      <w:r w:rsidRPr="00654B20">
        <w:rPr>
          <w:rFonts w:eastAsia="Calibri"/>
          <w:lang w:eastAsia="en-US"/>
        </w:rPr>
        <w:t>finns</w:t>
      </w:r>
      <w:r>
        <w:rPr>
          <w:rFonts w:eastAsia="Calibri"/>
          <w:lang w:eastAsia="en-US"/>
        </w:rPr>
        <w:t xml:space="preserve"> </w:t>
      </w:r>
      <w:r w:rsidRPr="00654B20">
        <w:rPr>
          <w:rFonts w:eastAsia="Calibri"/>
          <w:lang w:eastAsia="en-US"/>
        </w:rPr>
        <w:t>ett kunskapstest om basala hygienrutiner och klädregler som kan genomföras.</w:t>
      </w:r>
    </w:p>
    <w:p w14:paraId="6CD552C1" w14:textId="77777777" w:rsidR="00642F1D" w:rsidRPr="0057335F" w:rsidRDefault="00642F1D" w:rsidP="00642F1D">
      <w:pPr>
        <w:pStyle w:val="Liststycke"/>
      </w:pPr>
    </w:p>
    <w:p w14:paraId="4ED4B39E" w14:textId="77777777" w:rsidR="00642F1D" w:rsidRPr="0013003F" w:rsidRDefault="00642F1D" w:rsidP="00642F1D">
      <w:pPr>
        <w:numPr>
          <w:ilvl w:val="0"/>
          <w:numId w:val="7"/>
        </w:numPr>
        <w:contextualSpacing/>
      </w:pPr>
      <w:r w:rsidRPr="0013003F">
        <w:t xml:space="preserve">Att ha tillräckligt goda </w:t>
      </w:r>
      <w:r>
        <w:t xml:space="preserve">muntliga och skriftliga </w:t>
      </w:r>
      <w:r w:rsidRPr="0013003F">
        <w:t>kunskaper i svenska språket</w:t>
      </w:r>
      <w:r>
        <w:t xml:space="preserve"> </w:t>
      </w:r>
      <w:r w:rsidRPr="0013003F">
        <w:t>för att kunna kommunicera med patienter och personal</w:t>
      </w:r>
      <w:r>
        <w:t>.</w:t>
      </w:r>
    </w:p>
    <w:p w14:paraId="50FB97D4" w14:textId="77777777" w:rsidR="00642F1D" w:rsidRPr="00356AF5" w:rsidRDefault="00642F1D" w:rsidP="00642F1D">
      <w:pPr>
        <w:pStyle w:val="Liststycke"/>
        <w:rPr>
          <w:strike/>
          <w:color w:val="FF0000"/>
        </w:rPr>
      </w:pPr>
    </w:p>
    <w:p w14:paraId="5EFC7B47" w14:textId="77777777" w:rsidR="00642F1D" w:rsidRDefault="00642F1D" w:rsidP="00642F1D">
      <w:pPr>
        <w:numPr>
          <w:ilvl w:val="0"/>
          <w:numId w:val="7"/>
        </w:numPr>
        <w:contextualSpacing/>
      </w:pPr>
      <w:r w:rsidRPr="00415F05">
        <w:t xml:space="preserve">Att följa det schema som </w:t>
      </w:r>
      <w:r>
        <w:t>tilldelats</w:t>
      </w:r>
      <w:r w:rsidRPr="00415F05">
        <w:t xml:space="preserve"> av handledaren.</w:t>
      </w:r>
    </w:p>
    <w:p w14:paraId="171235C7" w14:textId="77777777" w:rsidR="00642F1D" w:rsidRDefault="00642F1D" w:rsidP="00642F1D">
      <w:pPr>
        <w:spacing w:before="240"/>
        <w:ind w:left="357"/>
        <w:contextualSpacing/>
      </w:pPr>
    </w:p>
    <w:p w14:paraId="30A5C4BF" w14:textId="77777777" w:rsidR="00642F1D" w:rsidRPr="00415F05" w:rsidRDefault="00642F1D" w:rsidP="00642F1D">
      <w:pPr>
        <w:numPr>
          <w:ilvl w:val="0"/>
          <w:numId w:val="7"/>
        </w:numPr>
        <w:contextualSpacing/>
      </w:pPr>
      <w:r w:rsidRPr="00415F05">
        <w:t xml:space="preserve">Att ta del av och följa de lokala riktlinjer som gäller på </w:t>
      </w:r>
      <w:r>
        <w:t>arbets</w:t>
      </w:r>
      <w:r w:rsidRPr="00415F05">
        <w:t>platsen. Det kan gälla exempelvis rökning och telefonanvändning.</w:t>
      </w:r>
    </w:p>
    <w:p w14:paraId="6279A8BA" w14:textId="77777777" w:rsidR="00642F1D" w:rsidRPr="00415F05" w:rsidRDefault="00642F1D" w:rsidP="00642F1D">
      <w:pPr>
        <w:ind w:left="720"/>
        <w:contextualSpacing/>
      </w:pPr>
    </w:p>
    <w:p w14:paraId="704AE380" w14:textId="77777777" w:rsidR="00642F1D" w:rsidRPr="00415F05" w:rsidRDefault="00642F1D" w:rsidP="00642F1D">
      <w:pPr>
        <w:numPr>
          <w:ilvl w:val="0"/>
          <w:numId w:val="7"/>
        </w:numPr>
        <w:contextualSpacing/>
      </w:pPr>
      <w:r w:rsidRPr="00415F05">
        <w:t>Att lämna anhörigs namn och telefonnummer till APL</w:t>
      </w:r>
      <w:r>
        <w:t>-</w:t>
      </w:r>
      <w:r w:rsidRPr="00415F05">
        <w:t>platsen.</w:t>
      </w:r>
    </w:p>
    <w:p w14:paraId="04068FFA" w14:textId="77777777" w:rsidR="00642F1D" w:rsidRPr="00415F05" w:rsidRDefault="00642F1D" w:rsidP="00642F1D">
      <w:pPr>
        <w:ind w:left="720"/>
        <w:contextualSpacing/>
      </w:pPr>
    </w:p>
    <w:p w14:paraId="0ACE21A5" w14:textId="77777777" w:rsidR="00642F1D" w:rsidRPr="00415F05" w:rsidRDefault="00642F1D" w:rsidP="00642F1D">
      <w:pPr>
        <w:numPr>
          <w:ilvl w:val="0"/>
          <w:numId w:val="7"/>
        </w:numPr>
        <w:contextualSpacing/>
      </w:pPr>
      <w:r w:rsidRPr="00415F05">
        <w:t xml:space="preserve">Att, om verksamheten så önskar, fylla i en utvärdering efter </w:t>
      </w:r>
      <w:r>
        <w:t>APL-</w:t>
      </w:r>
      <w:r w:rsidRPr="00415F05">
        <w:t>periodens slut.</w:t>
      </w:r>
    </w:p>
    <w:p w14:paraId="20ED76C8" w14:textId="77777777" w:rsidR="00642F1D" w:rsidRDefault="00642F1D" w:rsidP="00642F1D">
      <w:r>
        <w:t xml:space="preserve"> </w:t>
      </w:r>
    </w:p>
    <w:p w14:paraId="50F2A734" w14:textId="1EDE7E5B" w:rsidR="00642F1D" w:rsidRDefault="00642F1D" w:rsidP="00642F1D">
      <w:pPr>
        <w:keepNext/>
        <w:spacing w:before="240" w:line="320" w:lineRule="atLeast"/>
        <w:outlineLvl w:val="1"/>
        <w:rPr>
          <w:rFonts w:eastAsia="MS Mincho" w:cs="Arial"/>
          <w:bCs/>
          <w:iCs/>
          <w:sz w:val="32"/>
          <w:szCs w:val="28"/>
        </w:rPr>
      </w:pPr>
      <w:r w:rsidRPr="00415F05">
        <w:rPr>
          <w:rFonts w:eastAsia="MS Mincho" w:cs="Arial"/>
          <w:bCs/>
          <w:iCs/>
          <w:sz w:val="32"/>
          <w:szCs w:val="28"/>
        </w:rPr>
        <w:lastRenderedPageBreak/>
        <w:t>Ersättning</w:t>
      </w:r>
    </w:p>
    <w:p w14:paraId="080559D9" w14:textId="77777777" w:rsidR="00642F1D" w:rsidRPr="00415F05" w:rsidRDefault="00642F1D" w:rsidP="00642F1D">
      <w:pPr>
        <w:keepNext/>
        <w:spacing w:before="240" w:line="320" w:lineRule="atLeast"/>
        <w:contextualSpacing/>
        <w:outlineLvl w:val="1"/>
        <w:rPr>
          <w:rFonts w:eastAsia="MS Mincho" w:cs="Arial"/>
          <w:bCs/>
          <w:iCs/>
          <w:sz w:val="32"/>
          <w:szCs w:val="28"/>
        </w:rPr>
      </w:pPr>
    </w:p>
    <w:p w14:paraId="50549925" w14:textId="77777777" w:rsidR="00642F1D" w:rsidRDefault="00642F1D" w:rsidP="00642F1D">
      <w:pPr>
        <w:rPr>
          <w:rFonts w:eastAsia="MS Mincho"/>
          <w:b/>
        </w:rPr>
      </w:pPr>
      <w:r>
        <w:rPr>
          <w:b/>
        </w:rPr>
        <w:t xml:space="preserve">Denna information riktar sig till Region Stockholms verksamheter och verksamheter med avtal med Region Stockholm.  </w:t>
      </w:r>
    </w:p>
    <w:p w14:paraId="58840CF0" w14:textId="77777777" w:rsidR="00642F1D" w:rsidRPr="00415F05" w:rsidRDefault="00642F1D" w:rsidP="00642F1D">
      <w:pPr>
        <w:rPr>
          <w:rFonts w:eastAsia="MS Mincho"/>
        </w:rPr>
      </w:pPr>
    </w:p>
    <w:p w14:paraId="5CF12DA0" w14:textId="77777777" w:rsidR="00642F1D" w:rsidRPr="00415F05" w:rsidRDefault="00642F1D" w:rsidP="00642F1D">
      <w:pPr>
        <w:rPr>
          <w:rFonts w:eastAsia="MS Mincho"/>
        </w:rPr>
      </w:pPr>
      <w:r w:rsidRPr="00415F05">
        <w:rPr>
          <w:rFonts w:eastAsia="MS Mincho"/>
        </w:rPr>
        <w:t xml:space="preserve">Ersättning utgår endast till </w:t>
      </w:r>
      <w:r>
        <w:rPr>
          <w:rFonts w:eastAsia="MS Mincho"/>
        </w:rPr>
        <w:t xml:space="preserve">Region Stockholms </w:t>
      </w:r>
      <w:r w:rsidRPr="00415F05">
        <w:rPr>
          <w:rFonts w:eastAsia="MS Mincho"/>
        </w:rPr>
        <w:t xml:space="preserve">verksamheter eller verksamheter med vårdavtal med </w:t>
      </w:r>
      <w:r>
        <w:rPr>
          <w:rFonts w:eastAsia="MS Mincho"/>
        </w:rPr>
        <w:t>Region Stockholm</w:t>
      </w:r>
      <w:r w:rsidRPr="00415F05">
        <w:rPr>
          <w:rFonts w:eastAsia="MS Mincho"/>
        </w:rPr>
        <w:t>. Ersättning ges för de studerande som finns upptagna i prioriteringsordningen på sida 1</w:t>
      </w:r>
      <w:r>
        <w:rPr>
          <w:rFonts w:eastAsia="MS Mincho"/>
        </w:rPr>
        <w:t>.</w:t>
      </w:r>
      <w:r w:rsidRPr="00415F05">
        <w:rPr>
          <w:rFonts w:eastAsia="MS Mincho"/>
        </w:rPr>
        <w:t xml:space="preserve"> </w:t>
      </w:r>
    </w:p>
    <w:p w14:paraId="2B70362F" w14:textId="77777777" w:rsidR="00642F1D" w:rsidRPr="00415F05" w:rsidRDefault="00642F1D" w:rsidP="00642F1D">
      <w:pPr>
        <w:rPr>
          <w:rFonts w:eastAsia="MS Mincho"/>
        </w:rPr>
      </w:pPr>
    </w:p>
    <w:p w14:paraId="0ADB6180" w14:textId="77777777" w:rsidR="00642F1D" w:rsidRPr="00415F05" w:rsidRDefault="00642F1D" w:rsidP="00642F1D">
      <w:pPr>
        <w:rPr>
          <w:rFonts w:eastAsia="MS Mincho"/>
        </w:rPr>
      </w:pPr>
      <w:r w:rsidRPr="00415F05">
        <w:rPr>
          <w:rFonts w:eastAsia="MS Mincho"/>
        </w:rPr>
        <w:t>Fakturering görs samordnat för respektive verksamhet</w:t>
      </w:r>
      <w:r>
        <w:rPr>
          <w:rFonts w:eastAsia="MS Mincho"/>
        </w:rPr>
        <w:t xml:space="preserve">, </w:t>
      </w:r>
      <w:r w:rsidRPr="00415F05">
        <w:rPr>
          <w:rFonts w:eastAsia="MS Mincho"/>
        </w:rPr>
        <w:t>inte lokalt av mottagande enhet</w:t>
      </w:r>
      <w:r>
        <w:rPr>
          <w:rFonts w:eastAsia="MS Mincho"/>
        </w:rPr>
        <w:t>er.</w:t>
      </w:r>
    </w:p>
    <w:p w14:paraId="1D38165D" w14:textId="77777777" w:rsidR="00642F1D" w:rsidRPr="00415F05" w:rsidRDefault="00642F1D" w:rsidP="00642F1D">
      <w:pPr>
        <w:rPr>
          <w:rFonts w:eastAsia="MS Mincho"/>
        </w:rPr>
      </w:pPr>
    </w:p>
    <w:p w14:paraId="0BBE9D5E" w14:textId="77777777" w:rsidR="00642F1D" w:rsidRDefault="00642F1D" w:rsidP="00642F1D">
      <w:pPr>
        <w:numPr>
          <w:ilvl w:val="0"/>
          <w:numId w:val="8"/>
        </w:numPr>
        <w:contextualSpacing/>
        <w:rPr>
          <w:rFonts w:eastAsia="MS Mincho"/>
        </w:rPr>
      </w:pPr>
      <w:r w:rsidRPr="00415F05">
        <w:rPr>
          <w:rFonts w:eastAsia="MS Mincho"/>
        </w:rPr>
        <w:t>APL ersätts med 700 kr per studerande och vecka. Tre dagar eller mer = en vecka. Kortare tid ersätts per dag. Lovveckor ersätts inte.</w:t>
      </w:r>
    </w:p>
    <w:p w14:paraId="2AA7DFBD" w14:textId="77777777" w:rsidR="00642F1D" w:rsidRPr="00415F05" w:rsidRDefault="00642F1D" w:rsidP="00642F1D">
      <w:pPr>
        <w:ind w:left="360"/>
        <w:contextualSpacing/>
        <w:rPr>
          <w:rFonts w:eastAsia="MS Mincho"/>
        </w:rPr>
      </w:pPr>
    </w:p>
    <w:p w14:paraId="053F1F2B" w14:textId="77777777" w:rsidR="00642F1D" w:rsidRDefault="00642F1D" w:rsidP="00642F1D">
      <w:pPr>
        <w:numPr>
          <w:ilvl w:val="0"/>
          <w:numId w:val="8"/>
        </w:numPr>
        <w:contextualSpacing/>
        <w:rPr>
          <w:rFonts w:eastAsia="MS Mincho"/>
        </w:rPr>
      </w:pPr>
      <w:r w:rsidRPr="00415F05">
        <w:rPr>
          <w:rFonts w:eastAsia="MS Mincho"/>
        </w:rPr>
        <w:t>Fakturering bör ske terminsvis, dock senast den 1 december respektive år.</w:t>
      </w:r>
    </w:p>
    <w:p w14:paraId="619B6F5D" w14:textId="77777777" w:rsidR="00642F1D" w:rsidRPr="00415F05" w:rsidRDefault="00642F1D" w:rsidP="00642F1D">
      <w:pPr>
        <w:ind w:left="360"/>
        <w:contextualSpacing/>
        <w:rPr>
          <w:rFonts w:eastAsia="MS Mincho"/>
        </w:rPr>
      </w:pPr>
    </w:p>
    <w:p w14:paraId="230C2C36" w14:textId="77777777" w:rsidR="00642F1D" w:rsidRPr="003C3C49" w:rsidRDefault="00642F1D" w:rsidP="00642F1D">
      <w:pPr>
        <w:pStyle w:val="Liststycke"/>
        <w:numPr>
          <w:ilvl w:val="0"/>
          <w:numId w:val="8"/>
        </w:numPr>
        <w:rPr>
          <w:rFonts w:eastAsia="MS Mincho"/>
        </w:rPr>
      </w:pPr>
      <w:r w:rsidRPr="003C3C49">
        <w:rPr>
          <w:rFonts w:eastAsia="MS Mincho"/>
        </w:rPr>
        <w:t xml:space="preserve">Vid för sen avbokning av APL-plats har verksamheten rätt att fakturera skolan med 700 kr per studerande och outnyttjad vecka, se sid 3 rubrik Avbokningar.  APL- platser som avbokats för sent faktureras inte Region Stockholm. </w:t>
      </w:r>
    </w:p>
    <w:p w14:paraId="2508DCE6" w14:textId="77777777" w:rsidR="00642F1D" w:rsidRPr="00586E58" w:rsidRDefault="00642F1D" w:rsidP="00642F1D">
      <w:pPr>
        <w:contextualSpacing/>
        <w:rPr>
          <w:rFonts w:eastAsia="MS Mincho"/>
        </w:rPr>
      </w:pPr>
    </w:p>
    <w:p w14:paraId="600F2FC1" w14:textId="77777777" w:rsidR="00642F1D" w:rsidRDefault="00642F1D" w:rsidP="00642F1D">
      <w:pPr>
        <w:rPr>
          <w:rFonts w:eastAsia="MS Mincho"/>
          <w:b/>
        </w:rPr>
      </w:pPr>
    </w:p>
    <w:p w14:paraId="41A7F4E7" w14:textId="77777777" w:rsidR="00642F1D" w:rsidRDefault="00642F1D" w:rsidP="00642F1D">
      <w:pPr>
        <w:rPr>
          <w:rFonts w:eastAsia="MS Mincho"/>
          <w:b/>
        </w:rPr>
      </w:pPr>
      <w:r w:rsidRPr="00415F05">
        <w:rPr>
          <w:rFonts w:eastAsia="MS Mincho"/>
          <w:b/>
        </w:rPr>
        <w:t>Faktureringsadress:</w:t>
      </w:r>
    </w:p>
    <w:p w14:paraId="636B0A12" w14:textId="77777777" w:rsidR="00642F1D" w:rsidRPr="00415F05" w:rsidRDefault="00642F1D" w:rsidP="00642F1D">
      <w:pPr>
        <w:rPr>
          <w:rFonts w:eastAsia="MS Mincho"/>
        </w:rPr>
      </w:pPr>
    </w:p>
    <w:p w14:paraId="6F181AC1" w14:textId="77777777" w:rsidR="00C53D16" w:rsidRDefault="00C53D16" w:rsidP="00C53D16">
      <w:pPr>
        <w:pStyle w:val="Brdtext"/>
      </w:pPr>
      <w:r>
        <w:t>Hälso- och sjukvårdsförvaltningen</w:t>
      </w:r>
    </w:p>
    <w:p w14:paraId="0AC74C7C" w14:textId="77777777" w:rsidR="00C53D16" w:rsidRDefault="00C53D16" w:rsidP="00C53D16">
      <w:pPr>
        <w:pStyle w:val="Brdtext"/>
      </w:pPr>
      <w:r>
        <w:t>Ref: 1500115</w:t>
      </w:r>
    </w:p>
    <w:p w14:paraId="1ACDF9F4" w14:textId="77777777" w:rsidR="00C53D16" w:rsidRDefault="00C53D16" w:rsidP="00C53D16">
      <w:pPr>
        <w:pStyle w:val="Brdtext"/>
      </w:pPr>
      <w:r>
        <w:t xml:space="preserve">Box 12 081 </w:t>
      </w:r>
    </w:p>
    <w:p w14:paraId="6AFAD55D" w14:textId="77777777" w:rsidR="00C53D16" w:rsidRDefault="00C53D16" w:rsidP="00C53D16">
      <w:pPr>
        <w:pStyle w:val="Brdtext"/>
        <w:rPr>
          <w:highlight w:val="red"/>
        </w:rPr>
      </w:pPr>
      <w:r>
        <w:t>102 23 STOCKHOLM</w:t>
      </w:r>
      <w:r>
        <w:rPr>
          <w:highlight w:val="red"/>
        </w:rPr>
        <w:t xml:space="preserve"> </w:t>
      </w:r>
    </w:p>
    <w:p w14:paraId="33D834D1" w14:textId="77777777" w:rsidR="00C53D16" w:rsidRDefault="00C53D16" w:rsidP="00C53D16">
      <w:pPr>
        <w:pStyle w:val="Brdtext"/>
      </w:pPr>
      <w:r>
        <w:t xml:space="preserve">Ange </w:t>
      </w:r>
      <w:r>
        <w:rPr>
          <w:b/>
        </w:rPr>
        <w:t>William Ehrling</w:t>
      </w:r>
      <w:r>
        <w:t xml:space="preserve"> som er referens. </w:t>
      </w:r>
    </w:p>
    <w:p w14:paraId="747F39BC" w14:textId="77777777" w:rsidR="00360C9F" w:rsidRDefault="00360C9F" w:rsidP="00360C9F"/>
    <w:p w14:paraId="4FD6E88B" w14:textId="77777777" w:rsidR="00360C9F" w:rsidRPr="00360C9F" w:rsidRDefault="00360C9F" w:rsidP="00360C9F">
      <w:pPr>
        <w:rPr>
          <w:rFonts w:eastAsia="MS Mincho"/>
        </w:rPr>
      </w:pPr>
    </w:p>
    <w:p w14:paraId="02A3F118" w14:textId="77777777" w:rsidR="00360C9F" w:rsidRPr="00275C8A" w:rsidRDefault="00360C9F" w:rsidP="00275C8A">
      <w:pPr>
        <w:keepNext/>
        <w:spacing w:before="240" w:line="320" w:lineRule="atLeast"/>
        <w:contextualSpacing/>
        <w:outlineLvl w:val="1"/>
        <w:rPr>
          <w:rFonts w:cs="Arial"/>
          <w:bCs/>
          <w:iCs/>
          <w:szCs w:val="22"/>
          <w:lang w:eastAsia="ja-JP"/>
        </w:rPr>
      </w:pPr>
    </w:p>
    <w:p w14:paraId="25D86417" w14:textId="77777777" w:rsidR="0029225F" w:rsidRDefault="0029225F" w:rsidP="00337307"/>
    <w:sectPr w:rsidR="0029225F" w:rsidSect="00275C8A">
      <w:headerReference w:type="default" r:id="rId16"/>
      <w:footerReference w:type="default" r:id="rId17"/>
      <w:pgSz w:w="11906" w:h="16838" w:code="9"/>
      <w:pgMar w:top="510" w:right="2835" w:bottom="2665" w:left="170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5DEB3" w14:textId="77777777" w:rsidR="00A91AED" w:rsidRDefault="00A91AED">
      <w:r>
        <w:separator/>
      </w:r>
    </w:p>
  </w:endnote>
  <w:endnote w:type="continuationSeparator" w:id="0">
    <w:p w14:paraId="630C0488" w14:textId="77777777" w:rsidR="00A91AED" w:rsidRDefault="00A9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8" w:type="dxa"/>
      <w:tblLook w:val="00A0" w:firstRow="1" w:lastRow="0" w:firstColumn="1" w:lastColumn="0" w:noHBand="0" w:noVBand="0"/>
    </w:tblPr>
    <w:tblGrid>
      <w:gridCol w:w="6555"/>
      <w:gridCol w:w="2517"/>
    </w:tblGrid>
    <w:tr w:rsidR="00A91AED" w14:paraId="1F2AF4AE" w14:textId="77777777" w:rsidTr="00337307">
      <w:tc>
        <w:tcPr>
          <w:tcW w:w="6555" w:type="dxa"/>
        </w:tcPr>
        <w:p w14:paraId="14AEAABE" w14:textId="684B51CD" w:rsidR="00A91AED" w:rsidRDefault="00A91AED">
          <w:pPr>
            <w:pStyle w:val="zDokNamn"/>
          </w:pPr>
        </w:p>
      </w:tc>
      <w:tc>
        <w:tcPr>
          <w:tcW w:w="2517" w:type="dxa"/>
        </w:tcPr>
        <w:p w14:paraId="0BD901E9" w14:textId="77777777" w:rsidR="00A91AED" w:rsidRDefault="00A91AED">
          <w:pPr>
            <w:jc w:val="right"/>
            <w:rPr>
              <w:sz w:val="18"/>
              <w:szCs w:val="18"/>
            </w:rPr>
          </w:pPr>
        </w:p>
      </w:tc>
    </w:tr>
  </w:tbl>
  <w:p w14:paraId="4DF9710E" w14:textId="77777777" w:rsidR="00A91AED" w:rsidRDefault="00A91AED">
    <w:pPr>
      <w:pStyle w:val="Sidfo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BF0C7" w14:textId="77777777" w:rsidR="00A91AED" w:rsidRDefault="00A91AED">
      <w:r>
        <w:separator/>
      </w:r>
    </w:p>
  </w:footnote>
  <w:footnote w:type="continuationSeparator" w:id="0">
    <w:p w14:paraId="15BC908A" w14:textId="77777777" w:rsidR="00A91AED" w:rsidRDefault="00A91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8" w:type="dxa"/>
      <w:tblInd w:w="-839" w:type="dxa"/>
      <w:tblLook w:val="00A0" w:firstRow="1" w:lastRow="0" w:firstColumn="1" w:lastColumn="0" w:noHBand="0" w:noVBand="0"/>
    </w:tblPr>
    <w:tblGrid>
      <w:gridCol w:w="732"/>
      <w:gridCol w:w="4686"/>
      <w:gridCol w:w="3191"/>
      <w:gridCol w:w="798"/>
      <w:gridCol w:w="1491"/>
    </w:tblGrid>
    <w:tr w:rsidR="00A91AED" w14:paraId="3F9786BA" w14:textId="77777777" w:rsidTr="00337307">
      <w:trPr>
        <w:cantSplit/>
        <w:trHeight w:hRule="exact" w:val="737"/>
      </w:trPr>
      <w:tc>
        <w:tcPr>
          <w:tcW w:w="9407" w:type="dxa"/>
          <w:gridSpan w:val="4"/>
        </w:tcPr>
        <w:p w14:paraId="04AF912A" w14:textId="4A75481F" w:rsidR="00A91AED" w:rsidRDefault="002A68F8" w:rsidP="00DA53A1">
          <w:pPr>
            <w:pStyle w:val="Tabellsidhuvud"/>
          </w:pPr>
          <w:r>
            <w:fldChar w:fldCharType="begin"/>
          </w:r>
          <w:r>
            <w:instrText xml:space="preserve"> REF zhLogo </w:instrText>
          </w:r>
          <w:r>
            <w:fldChar w:fldCharType="separate"/>
          </w:r>
          <w:r w:rsidR="00DB01BF">
            <w:rPr>
              <w:noProof/>
            </w:rPr>
            <w:drawing>
              <wp:inline distT="0" distB="0" distL="0" distR="0" wp14:anchorId="39514EFF" wp14:editId="7F506666">
                <wp:extent cx="2020828" cy="359665"/>
                <wp:effectExtent l="0" t="0" r="0" b="2540"/>
                <wp:docPr id="3" name="Bildobjekt 3"/>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0828" cy="359665"/>
                        </a:xfrm>
                        <a:prstGeom prst="rect">
                          <a:avLst/>
                        </a:prstGeom>
                      </pic:spPr>
                    </pic:pic>
                  </a:graphicData>
                </a:graphic>
              </wp:inline>
            </w:drawing>
          </w:r>
          <w:r>
            <w:rPr>
              <w:noProof/>
            </w:rPr>
            <w:fldChar w:fldCharType="end"/>
          </w:r>
        </w:p>
      </w:tc>
      <w:tc>
        <w:tcPr>
          <w:tcW w:w="1491" w:type="dxa"/>
        </w:tcPr>
        <w:p w14:paraId="5E60B89F" w14:textId="77777777" w:rsidR="00A91AED" w:rsidRDefault="00A91AED">
          <w:pPr>
            <w:pStyle w:val="Tabellsidhuvud"/>
            <w:spacing w:before="340"/>
          </w:pPr>
          <w:r>
            <w:fldChar w:fldCharType="begin"/>
          </w:r>
          <w:r>
            <w:instrText xml:space="preserve"> PAGE   \* MERGEFORMAT </w:instrText>
          </w:r>
          <w:r>
            <w:fldChar w:fldCharType="separate"/>
          </w:r>
          <w:r>
            <w:rPr>
              <w:noProof/>
            </w:rPr>
            <w:t>2</w:t>
          </w:r>
          <w:r>
            <w:fldChar w:fldCharType="end"/>
          </w:r>
          <w:r>
            <w:t xml:space="preserve"> (</w:t>
          </w:r>
          <w:r>
            <w:rPr>
              <w:rStyle w:val="Sidnummer"/>
            </w:rPr>
            <w:fldChar w:fldCharType="begin"/>
          </w:r>
          <w:r>
            <w:rPr>
              <w:rStyle w:val="Sidnummer"/>
            </w:rPr>
            <w:instrText xml:space="preserve"> NUMPAGES </w:instrText>
          </w:r>
          <w:r>
            <w:rPr>
              <w:rStyle w:val="Sidnummer"/>
            </w:rPr>
            <w:fldChar w:fldCharType="separate"/>
          </w:r>
          <w:r>
            <w:rPr>
              <w:rStyle w:val="Sidnummer"/>
              <w:noProof/>
            </w:rPr>
            <w:t>2</w:t>
          </w:r>
          <w:r>
            <w:rPr>
              <w:rStyle w:val="Sidnummer"/>
            </w:rPr>
            <w:fldChar w:fldCharType="end"/>
          </w:r>
          <w:r>
            <w:t>)</w:t>
          </w:r>
        </w:p>
      </w:tc>
    </w:tr>
    <w:tr w:rsidR="00A91AED" w14:paraId="556B3658" w14:textId="77777777" w:rsidTr="00337307">
      <w:trPr>
        <w:gridBefore w:val="1"/>
        <w:wBefore w:w="732" w:type="dxa"/>
        <w:cantSplit/>
        <w:trHeight w:hRule="exact" w:val="907"/>
      </w:trPr>
      <w:tc>
        <w:tcPr>
          <w:tcW w:w="4686" w:type="dxa"/>
        </w:tcPr>
        <w:p w14:paraId="331854AE" w14:textId="77777777" w:rsidR="00A91AED" w:rsidRDefault="00A91AED">
          <w:pPr>
            <w:pStyle w:val="Tabellsidhuvud"/>
          </w:pPr>
        </w:p>
      </w:tc>
      <w:tc>
        <w:tcPr>
          <w:tcW w:w="3191" w:type="dxa"/>
        </w:tcPr>
        <w:p w14:paraId="47755926" w14:textId="321D56AB" w:rsidR="00A91AED" w:rsidRDefault="00A91AED">
          <w:pPr>
            <w:pStyle w:val="zDokTyp"/>
          </w:pPr>
          <w:r>
            <w:fldChar w:fldCharType="begin"/>
          </w:r>
          <w:r>
            <w:instrText xml:space="preserve"> STYLEREF zDokTyp \* MERGEFORMAT </w:instrText>
          </w:r>
          <w:r>
            <w:fldChar w:fldCharType="end"/>
          </w:r>
        </w:p>
        <w:p w14:paraId="7BE9DAA5" w14:textId="591E303F" w:rsidR="00A91AED" w:rsidRDefault="002A68F8">
          <w:pPr>
            <w:pStyle w:val="Tabellsidhuvud"/>
          </w:pPr>
          <w:r>
            <w:fldChar w:fldCharType="begin"/>
          </w:r>
          <w:r>
            <w:instrText xml:space="preserve"> STYLEREF  zDatum  \* MERGEFORMAT </w:instrText>
          </w:r>
          <w:r>
            <w:fldChar w:fldCharType="separate"/>
          </w:r>
          <w:r w:rsidR="00A95DBD">
            <w:rPr>
              <w:noProof/>
            </w:rPr>
            <w:t>2023-12-14</w:t>
          </w:r>
          <w:r>
            <w:rPr>
              <w:noProof/>
            </w:rPr>
            <w:fldChar w:fldCharType="end"/>
          </w:r>
        </w:p>
      </w:tc>
      <w:tc>
        <w:tcPr>
          <w:tcW w:w="2289" w:type="dxa"/>
          <w:gridSpan w:val="2"/>
        </w:tcPr>
        <w:p w14:paraId="2969A853" w14:textId="5435F9AC" w:rsidR="00A91AED" w:rsidRDefault="002A68F8" w:rsidP="008F599F">
          <w:pPr>
            <w:pStyle w:val="Tabellsidhuvud"/>
          </w:pPr>
          <w:r>
            <w:fldChar w:fldCharType="begin"/>
          </w:r>
          <w:r>
            <w:instrText xml:space="preserve"> STYLEREF zDnrLead \* MERGEFORMAT </w:instrText>
          </w:r>
          <w:r>
            <w:fldChar w:fldCharType="separate"/>
          </w:r>
          <w:r w:rsidR="00A95DBD">
            <w:rPr>
              <w:noProof/>
            </w:rPr>
            <w:t>HSN 2020-0951</w:t>
          </w:r>
          <w:r>
            <w:rPr>
              <w:noProof/>
            </w:rPr>
            <w:fldChar w:fldCharType="end"/>
          </w:r>
        </w:p>
      </w:tc>
    </w:tr>
  </w:tbl>
  <w:p w14:paraId="0D109EAC" w14:textId="3A73960B" w:rsidR="00A91AED" w:rsidRDefault="00A91AED">
    <w:pPr>
      <w:pStyle w:val="Sidhuvud"/>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5B0D"/>
    <w:multiLevelType w:val="hybridMultilevel"/>
    <w:tmpl w:val="C13CAB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2160E62"/>
    <w:multiLevelType w:val="hybridMultilevel"/>
    <w:tmpl w:val="DF124C0E"/>
    <w:lvl w:ilvl="0" w:tplc="BECE6166">
      <w:numFmt w:val="bullet"/>
      <w:lvlText w:val="-"/>
      <w:lvlJc w:val="left"/>
      <w:pPr>
        <w:ind w:left="720" w:hanging="360"/>
      </w:pPr>
      <w:rPr>
        <w:rFonts w:ascii="Georgia" w:eastAsia="MS Mincho"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AE8424E"/>
    <w:multiLevelType w:val="hybridMultilevel"/>
    <w:tmpl w:val="3B98BB9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AE973CE"/>
    <w:multiLevelType w:val="hybridMultilevel"/>
    <w:tmpl w:val="E02E0A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CD066EE"/>
    <w:multiLevelType w:val="hybridMultilevel"/>
    <w:tmpl w:val="297E3B30"/>
    <w:lvl w:ilvl="0" w:tplc="00FC292A">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6C96E6E"/>
    <w:multiLevelType w:val="hybridMultilevel"/>
    <w:tmpl w:val="0CBC09D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DA525B6"/>
    <w:multiLevelType w:val="hybridMultilevel"/>
    <w:tmpl w:val="52BC58DE"/>
    <w:lvl w:ilvl="0" w:tplc="CD40C010">
      <w:start w:val="1"/>
      <w:numFmt w:val="bullet"/>
      <w:lvlText w:val=""/>
      <w:lvlJc w:val="left"/>
      <w:pPr>
        <w:ind w:left="720"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7DE541D"/>
    <w:multiLevelType w:val="hybridMultilevel"/>
    <w:tmpl w:val="31C008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43212792">
    <w:abstractNumId w:val="1"/>
  </w:num>
  <w:num w:numId="2" w16cid:durableId="1570192290">
    <w:abstractNumId w:val="4"/>
  </w:num>
  <w:num w:numId="3" w16cid:durableId="1199270867">
    <w:abstractNumId w:val="5"/>
  </w:num>
  <w:num w:numId="4" w16cid:durableId="270741908">
    <w:abstractNumId w:val="3"/>
  </w:num>
  <w:num w:numId="5" w16cid:durableId="134572089">
    <w:abstractNumId w:val="2"/>
  </w:num>
  <w:num w:numId="6" w16cid:durableId="847906026">
    <w:abstractNumId w:val="7"/>
  </w:num>
  <w:num w:numId="7" w16cid:durableId="1031758194">
    <w:abstractNumId w:val="6"/>
  </w:num>
  <w:num w:numId="8" w16cid:durableId="2098285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C8A"/>
    <w:rsid w:val="00034308"/>
    <w:rsid w:val="00073D11"/>
    <w:rsid w:val="00081924"/>
    <w:rsid w:val="000C0DC8"/>
    <w:rsid w:val="000C68B1"/>
    <w:rsid w:val="000D429B"/>
    <w:rsid w:val="00137115"/>
    <w:rsid w:val="001A57BC"/>
    <w:rsid w:val="00212F08"/>
    <w:rsid w:val="00241A14"/>
    <w:rsid w:val="002423DC"/>
    <w:rsid w:val="0027575E"/>
    <w:rsid w:val="00275C8A"/>
    <w:rsid w:val="0029225F"/>
    <w:rsid w:val="002E49E2"/>
    <w:rsid w:val="00300A16"/>
    <w:rsid w:val="00337307"/>
    <w:rsid w:val="00360C9F"/>
    <w:rsid w:val="003A5B50"/>
    <w:rsid w:val="003B4085"/>
    <w:rsid w:val="003B6C2D"/>
    <w:rsid w:val="003C44E2"/>
    <w:rsid w:val="00426961"/>
    <w:rsid w:val="00434922"/>
    <w:rsid w:val="0048737C"/>
    <w:rsid w:val="00490898"/>
    <w:rsid w:val="00543804"/>
    <w:rsid w:val="005516DB"/>
    <w:rsid w:val="005634CC"/>
    <w:rsid w:val="005A39E2"/>
    <w:rsid w:val="005A6227"/>
    <w:rsid w:val="005A6538"/>
    <w:rsid w:val="005C0668"/>
    <w:rsid w:val="005E4198"/>
    <w:rsid w:val="005E4472"/>
    <w:rsid w:val="005E4F9C"/>
    <w:rsid w:val="00616D64"/>
    <w:rsid w:val="00642F1D"/>
    <w:rsid w:val="006B7083"/>
    <w:rsid w:val="006C2A89"/>
    <w:rsid w:val="006C30AC"/>
    <w:rsid w:val="006E1552"/>
    <w:rsid w:val="00773E67"/>
    <w:rsid w:val="00787F0C"/>
    <w:rsid w:val="007A4FB0"/>
    <w:rsid w:val="007D554C"/>
    <w:rsid w:val="007E25B2"/>
    <w:rsid w:val="007F26E4"/>
    <w:rsid w:val="0085323D"/>
    <w:rsid w:val="0085539D"/>
    <w:rsid w:val="0087376B"/>
    <w:rsid w:val="008D49F4"/>
    <w:rsid w:val="008F599F"/>
    <w:rsid w:val="009129CB"/>
    <w:rsid w:val="00966F32"/>
    <w:rsid w:val="00980E1A"/>
    <w:rsid w:val="00981B6E"/>
    <w:rsid w:val="009A00CA"/>
    <w:rsid w:val="009C3FA6"/>
    <w:rsid w:val="009D2D9B"/>
    <w:rsid w:val="00A71538"/>
    <w:rsid w:val="00A91AED"/>
    <w:rsid w:val="00A95DBD"/>
    <w:rsid w:val="00A97634"/>
    <w:rsid w:val="00AB0166"/>
    <w:rsid w:val="00AE0B02"/>
    <w:rsid w:val="00AE7F79"/>
    <w:rsid w:val="00B610D1"/>
    <w:rsid w:val="00B80C0C"/>
    <w:rsid w:val="00B84070"/>
    <w:rsid w:val="00BC79C4"/>
    <w:rsid w:val="00C53D16"/>
    <w:rsid w:val="00C572D7"/>
    <w:rsid w:val="00C64306"/>
    <w:rsid w:val="00C835C2"/>
    <w:rsid w:val="00CC3AE8"/>
    <w:rsid w:val="00CC6BDE"/>
    <w:rsid w:val="00CF63FD"/>
    <w:rsid w:val="00D4052C"/>
    <w:rsid w:val="00D545AF"/>
    <w:rsid w:val="00D70189"/>
    <w:rsid w:val="00D7283B"/>
    <w:rsid w:val="00D970FA"/>
    <w:rsid w:val="00DA53A1"/>
    <w:rsid w:val="00DB01BF"/>
    <w:rsid w:val="00DF3768"/>
    <w:rsid w:val="00E12253"/>
    <w:rsid w:val="00E16A21"/>
    <w:rsid w:val="00E22942"/>
    <w:rsid w:val="00E87E21"/>
    <w:rsid w:val="00EF61A0"/>
    <w:rsid w:val="00F005DE"/>
    <w:rsid w:val="00F164AD"/>
    <w:rsid w:val="00F53DB7"/>
    <w:rsid w:val="00F54DBE"/>
    <w:rsid w:val="00F80691"/>
    <w:rsid w:val="00F93CF6"/>
    <w:rsid w:val="00FB0BF6"/>
    <w:rsid w:val="00FB6C80"/>
    <w:rsid w:val="00FC36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1CFA0B7"/>
  <w15:docId w15:val="{91BBCBCD-DFF0-42ED-9BA6-3D2CE3A5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7307"/>
    <w:pPr>
      <w:spacing w:line="280" w:lineRule="atLeast"/>
    </w:pPr>
    <w:rPr>
      <w:rFonts w:ascii="Georgia" w:hAnsi="Georgia"/>
      <w:sz w:val="22"/>
      <w:szCs w:val="24"/>
    </w:rPr>
  </w:style>
  <w:style w:type="paragraph" w:styleId="Rubrik1">
    <w:name w:val="heading 1"/>
    <w:basedOn w:val="Normal"/>
    <w:next w:val="Normal"/>
    <w:qFormat/>
    <w:pPr>
      <w:keepNext/>
      <w:spacing w:before="240" w:line="400" w:lineRule="atLeast"/>
      <w:outlineLvl w:val="0"/>
    </w:pPr>
    <w:rPr>
      <w:rFonts w:cs="Arial"/>
      <w:b/>
      <w:bCs/>
      <w:kern w:val="32"/>
      <w:sz w:val="32"/>
      <w:szCs w:val="28"/>
    </w:rPr>
  </w:style>
  <w:style w:type="paragraph" w:styleId="Rubrik2">
    <w:name w:val="heading 2"/>
    <w:basedOn w:val="Normal"/>
    <w:next w:val="Normal"/>
    <w:qFormat/>
    <w:pPr>
      <w:keepNext/>
      <w:spacing w:before="240" w:line="320" w:lineRule="atLeast"/>
      <w:outlineLvl w:val="1"/>
    </w:pPr>
    <w:rPr>
      <w:rFonts w:cs="Arial"/>
      <w:bCs/>
      <w:iCs/>
      <w:sz w:val="32"/>
      <w:szCs w:val="28"/>
    </w:rPr>
  </w:style>
  <w:style w:type="paragraph" w:styleId="Rubrik3">
    <w:name w:val="heading 3"/>
    <w:basedOn w:val="Normal"/>
    <w:next w:val="Normal"/>
    <w:qFormat/>
    <w:pPr>
      <w:keepNext/>
      <w:spacing w:before="240"/>
      <w:outlineLvl w:val="2"/>
    </w:pPr>
    <w:rPr>
      <w:rFonts w:cs="Arial"/>
      <w:b/>
      <w:bCs/>
      <w:sz w:val="26"/>
    </w:rPr>
  </w:style>
  <w:style w:type="paragraph" w:styleId="Rubrik4">
    <w:name w:val="heading 4"/>
    <w:basedOn w:val="Normal"/>
    <w:next w:val="Normal"/>
    <w:qFormat/>
    <w:pPr>
      <w:keepNext/>
      <w:spacing w:before="240"/>
      <w:outlineLvl w:val="3"/>
    </w:pPr>
    <w:rPr>
      <w:b/>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idnumrering">
    <w:name w:val="Sidnumrering"/>
    <w:basedOn w:val="Sidhuvud"/>
    <w:semiHidden/>
    <w:pPr>
      <w:spacing w:before="340" w:line="240" w:lineRule="atLeast"/>
      <w:jc w:val="both"/>
    </w:pPr>
    <w:rPr>
      <w:rFonts w:ascii="Verdana" w:hAnsi="Verdana"/>
      <w:sz w:val="18"/>
    </w:rPr>
  </w:style>
  <w:style w:type="paragraph" w:customStyle="1" w:styleId="zDokTyp">
    <w:name w:val="zDokTyp"/>
    <w:basedOn w:val="Normal"/>
    <w:semiHidden/>
    <w:pPr>
      <w:spacing w:line="240" w:lineRule="atLeast"/>
    </w:pPr>
    <w:rPr>
      <w:rFonts w:ascii="Verdana" w:hAnsi="Verdana"/>
      <w:caps/>
      <w:sz w:val="18"/>
    </w:rPr>
  </w:style>
  <w:style w:type="paragraph" w:customStyle="1" w:styleId="zDatum">
    <w:name w:val="zDatum"/>
    <w:basedOn w:val="Tabellsidhuvud"/>
    <w:semiHidden/>
  </w:style>
  <w:style w:type="paragraph" w:customStyle="1" w:styleId="rendemening">
    <w:name w:val="Ärendemening"/>
    <w:basedOn w:val="Normal"/>
    <w:next w:val="Normal"/>
    <w:rPr>
      <w:b/>
    </w:rPr>
  </w:style>
  <w:style w:type="paragraph" w:styleId="Sidhuvud">
    <w:name w:val="header"/>
    <w:basedOn w:val="Normal"/>
    <w:semiHidden/>
    <w:pPr>
      <w:tabs>
        <w:tab w:val="center" w:pos="4536"/>
        <w:tab w:val="right" w:pos="9072"/>
      </w:tabs>
      <w:spacing w:line="240" w:lineRule="auto"/>
    </w:pPr>
  </w:style>
  <w:style w:type="paragraph" w:styleId="Sidfot">
    <w:name w:val="footer"/>
    <w:basedOn w:val="Normal"/>
    <w:link w:val="SidfotChar"/>
    <w:uiPriority w:val="99"/>
    <w:pPr>
      <w:tabs>
        <w:tab w:val="center" w:pos="4536"/>
        <w:tab w:val="right" w:pos="9072"/>
      </w:tabs>
      <w:spacing w:line="240" w:lineRule="auto"/>
    </w:pPr>
    <w:rPr>
      <w:rFonts w:ascii="Verdana" w:hAnsi="Verdana"/>
      <w:sz w:val="16"/>
    </w:rPr>
  </w:style>
  <w:style w:type="character" w:styleId="Sidnummer">
    <w:name w:val="page number"/>
    <w:basedOn w:val="Standardstycketeckensnitt"/>
    <w:semiHidden/>
  </w:style>
  <w:style w:type="paragraph" w:customStyle="1" w:styleId="zDokNamn">
    <w:name w:val="zDokNamn"/>
    <w:basedOn w:val="Normal"/>
    <w:semiHidden/>
    <w:pPr>
      <w:spacing w:line="240" w:lineRule="auto"/>
    </w:pPr>
    <w:rPr>
      <w:rFonts w:ascii="Verdana" w:hAnsi="Verdana" w:cs="Arial"/>
      <w:sz w:val="12"/>
      <w:szCs w:val="12"/>
    </w:rPr>
  </w:style>
  <w:style w:type="paragraph" w:customStyle="1" w:styleId="zDnr">
    <w:name w:val="zDnr"/>
    <w:basedOn w:val="Normal"/>
    <w:semiHidden/>
    <w:pPr>
      <w:spacing w:line="240" w:lineRule="atLeast"/>
    </w:pPr>
    <w:rPr>
      <w:rFonts w:ascii="Verdana" w:hAnsi="Verdana"/>
      <w:sz w:val="18"/>
    </w:rPr>
  </w:style>
  <w:style w:type="paragraph" w:customStyle="1" w:styleId="Tabellsidhuvud">
    <w:name w:val="Tabellsidhuvud"/>
    <w:basedOn w:val="Normal"/>
    <w:semiHidden/>
    <w:pPr>
      <w:spacing w:line="240" w:lineRule="atLeast"/>
    </w:pPr>
    <w:rPr>
      <w:rFonts w:ascii="Verdana" w:hAnsi="Verdana"/>
      <w:sz w:val="18"/>
    </w:rPr>
  </w:style>
  <w:style w:type="paragraph" w:styleId="Ballongtext">
    <w:name w:val="Balloon Text"/>
    <w:basedOn w:val="Normal"/>
    <w:semiHidden/>
    <w:rPr>
      <w:rFonts w:ascii="Tahoma" w:hAnsi="Tahoma"/>
      <w:sz w:val="16"/>
      <w:szCs w:val="16"/>
    </w:rPr>
  </w:style>
  <w:style w:type="paragraph" w:customStyle="1" w:styleId="zDoldText">
    <w:name w:val="zDoldText"/>
    <w:basedOn w:val="Normal"/>
    <w:semiHidden/>
    <w:rsid w:val="00337307"/>
    <w:pPr>
      <w:spacing w:line="240" w:lineRule="auto"/>
    </w:pPr>
    <w:rPr>
      <w:vanish/>
      <w:color w:val="0000FF"/>
    </w:rPr>
  </w:style>
  <w:style w:type="paragraph" w:styleId="Brdtext">
    <w:name w:val="Body Text"/>
    <w:basedOn w:val="Normal"/>
    <w:link w:val="BrdtextChar"/>
    <w:semiHidden/>
  </w:style>
  <w:style w:type="paragraph" w:customStyle="1" w:styleId="zDnrLead">
    <w:name w:val="zDnrLead"/>
    <w:basedOn w:val="zDnr"/>
    <w:next w:val="zDnr"/>
    <w:semiHidden/>
    <w:rPr>
      <w:iCs/>
    </w:rPr>
  </w:style>
  <w:style w:type="paragraph" w:styleId="Liststycke">
    <w:name w:val="List Paragraph"/>
    <w:basedOn w:val="Normal"/>
    <w:uiPriority w:val="34"/>
    <w:qFormat/>
    <w:rsid w:val="00275C8A"/>
    <w:pPr>
      <w:ind w:left="720"/>
      <w:contextualSpacing/>
    </w:pPr>
  </w:style>
  <w:style w:type="paragraph" w:styleId="Slutnotstext">
    <w:name w:val="endnote text"/>
    <w:basedOn w:val="Normal"/>
    <w:link w:val="SlutnotstextChar"/>
    <w:semiHidden/>
    <w:unhideWhenUsed/>
    <w:rsid w:val="00966F32"/>
    <w:pPr>
      <w:spacing w:line="240" w:lineRule="auto"/>
    </w:pPr>
    <w:rPr>
      <w:sz w:val="20"/>
      <w:szCs w:val="20"/>
    </w:rPr>
  </w:style>
  <w:style w:type="character" w:customStyle="1" w:styleId="SlutnotstextChar">
    <w:name w:val="Slutnotstext Char"/>
    <w:basedOn w:val="Standardstycketeckensnitt"/>
    <w:link w:val="Slutnotstext"/>
    <w:semiHidden/>
    <w:rsid w:val="00966F32"/>
    <w:rPr>
      <w:rFonts w:ascii="Georgia" w:hAnsi="Georgia"/>
    </w:rPr>
  </w:style>
  <w:style w:type="character" w:styleId="Slutnotsreferens">
    <w:name w:val="endnote reference"/>
    <w:basedOn w:val="Standardstycketeckensnitt"/>
    <w:semiHidden/>
    <w:unhideWhenUsed/>
    <w:rsid w:val="00966F32"/>
    <w:rPr>
      <w:vertAlign w:val="superscript"/>
    </w:rPr>
  </w:style>
  <w:style w:type="character" w:customStyle="1" w:styleId="SidfotChar">
    <w:name w:val="Sidfot Char"/>
    <w:basedOn w:val="Standardstycketeckensnitt"/>
    <w:link w:val="Sidfot"/>
    <w:uiPriority w:val="99"/>
    <w:rsid w:val="00966F32"/>
    <w:rPr>
      <w:rFonts w:ascii="Verdana" w:hAnsi="Verdana"/>
      <w:sz w:val="16"/>
      <w:szCs w:val="24"/>
    </w:rPr>
  </w:style>
  <w:style w:type="character" w:styleId="Hyperlnk">
    <w:name w:val="Hyperlink"/>
    <w:basedOn w:val="Standardstycketeckensnitt"/>
    <w:uiPriority w:val="99"/>
    <w:unhideWhenUsed/>
    <w:rsid w:val="00360C9F"/>
    <w:rPr>
      <w:color w:val="0000FF" w:themeColor="hyperlink"/>
      <w:u w:val="single"/>
    </w:rPr>
  </w:style>
  <w:style w:type="character" w:styleId="Betoning">
    <w:name w:val="Emphasis"/>
    <w:basedOn w:val="Standardstycketeckensnitt"/>
    <w:uiPriority w:val="20"/>
    <w:qFormat/>
    <w:rsid w:val="00360C9F"/>
    <w:rPr>
      <w:i/>
      <w:iCs/>
    </w:rPr>
  </w:style>
  <w:style w:type="table" w:styleId="Tabellrutnt">
    <w:name w:val="Table Grid"/>
    <w:basedOn w:val="Normaltabell"/>
    <w:rsid w:val="00855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dtextChar">
    <w:name w:val="Brödtext Char"/>
    <w:basedOn w:val="Standardstycketeckensnitt"/>
    <w:link w:val="Brdtext"/>
    <w:semiHidden/>
    <w:rsid w:val="00642F1D"/>
    <w:rPr>
      <w:rFonts w:ascii="Georgia" w:hAnsi="Georgia"/>
      <w:sz w:val="22"/>
      <w:szCs w:val="24"/>
    </w:rPr>
  </w:style>
  <w:style w:type="character" w:styleId="AnvndHyperlnk">
    <w:name w:val="FollowedHyperlink"/>
    <w:basedOn w:val="Standardstycketeckensnitt"/>
    <w:semiHidden/>
    <w:unhideWhenUsed/>
    <w:rsid w:val="00212F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ardgivarguiden.se/kunskapsstod/smittskydd/amnesomraden/halsodeklaration-och-halsointy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ardhandboken.se/vardhygien-infektioner-och-smittspridning/vardhygien/basala-hygienrutiner-och-arbetklader/basala-hygienrutin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stockholm.se/apl" TargetMode="External"/><Relationship Id="rId5" Type="http://schemas.openxmlformats.org/officeDocument/2006/relationships/webSettings" Target="webSettings.xml"/><Relationship Id="rId15" Type="http://schemas.openxmlformats.org/officeDocument/2006/relationships/hyperlink" Target="https://www.vardhandboken.se/vardhygien-infektioner-och-smittspridning/vardhygien/basala-hygienrutiner-och-arbetklader/basala-hygienrutiner/" TargetMode="External"/><Relationship Id="rId10" Type="http://schemas.openxmlformats.org/officeDocument/2006/relationships/hyperlink" Target="http://www.regionstockholm.se/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vardgivarguiden.se/kunskapsstod/smittskydd/amnesomraden/halsodeklaration-och-halsointy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OfficeKey\Workgroup\Gemensam\PM-stand_S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E243F-E535-45F0-A6B8-7907FB600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PM-stand_SE</Template>
  <TotalTime>65</TotalTime>
  <Pages>8</Pages>
  <Words>1427</Words>
  <Characters>9719</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
    </vt:vector>
  </TitlesOfParts>
  <Company>IntraKey AB</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Liljebäck(3q5v)</dc:creator>
  <cp:lastModifiedBy>Kati Liljebäck</cp:lastModifiedBy>
  <cp:revision>3</cp:revision>
  <cp:lastPrinted>2023-07-06T08:36:00Z</cp:lastPrinted>
  <dcterms:created xsi:type="dcterms:W3CDTF">2023-12-14T12:28:00Z</dcterms:created>
  <dcterms:modified xsi:type="dcterms:W3CDTF">2023-12-14T15:19:00Z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Key">
    <vt:lpwstr>Document</vt:lpwstr>
  </property>
  <property fmtid="{D5CDD505-2E9C-101B-9397-08002B2CF9AE}" pid="3" name="Dialog">
    <vt:i4>2</vt:i4>
  </property>
</Properties>
</file>